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F267C" w14:textId="77777777" w:rsidR="00AF5F65" w:rsidRPr="00EA358A" w:rsidRDefault="00A360B8">
      <w:pPr>
        <w:spacing w:after="200"/>
      </w:pPr>
      <w:r>
        <w:rPr>
          <w:rFonts w:ascii="Arial" w:eastAsia="Arial" w:hAnsi="Arial" w:cs="Arial"/>
          <w:b/>
          <w:bCs/>
          <w:sz w:val="32"/>
          <w:szCs w:val="32"/>
        </w:rPr>
        <w:t>Abstract Competition</w:t>
      </w:r>
    </w:p>
    <w:p w14:paraId="7F2451CA" w14:textId="77777777" w:rsidR="00AF5F65" w:rsidRDefault="00A360B8">
      <w:pPr>
        <w:spacing w:after="160"/>
      </w:pPr>
      <w:r>
        <w:rPr>
          <w:rFonts w:ascii="Arial" w:eastAsia="Arial" w:hAnsi="Arial" w:cs="Arial"/>
        </w:rPr>
        <w:t>APMA is pleased to announce the abstract competition for the APMA 2026 Annual Scientific Meeting. All non-industry-sponsored oral and poster abstracts presented at the Annual Scientific Meeting are eligible for the APMA Abstract Competition. A panel of judges will select the top three abstracts in each of the categories below.</w:t>
      </w:r>
    </w:p>
    <w:p w14:paraId="2F629E35" w14:textId="77777777" w:rsidR="00AF5F65" w:rsidRDefault="00A360B8">
      <w:pPr>
        <w:spacing w:after="160"/>
      </w:pPr>
      <w:r>
        <w:rPr>
          <w:rFonts w:ascii="Arial" w:eastAsia="Arial" w:hAnsi="Arial" w:cs="Arial"/>
        </w:rPr>
        <w:t>First-place winners will receive $500, second-place winners will receive $250, and third-place winners will receive $100. The awards will be given to the primary author only.</w:t>
      </w:r>
    </w:p>
    <w:p w14:paraId="755C196A" w14:textId="77777777" w:rsidR="00AF5F65" w:rsidRDefault="00A360B8">
      <w:pPr>
        <w:spacing w:after="100"/>
      </w:pPr>
      <w:r>
        <w:rPr>
          <w:rFonts w:ascii="Arial" w:eastAsia="Arial" w:hAnsi="Arial" w:cs="Arial"/>
        </w:rPr>
        <w:t>The six APMA award categories are as follows:</w:t>
      </w:r>
    </w:p>
    <w:p w14:paraId="6947E041" w14:textId="77777777" w:rsidR="00AF5F65" w:rsidRDefault="00A360B8">
      <w:pPr>
        <w:spacing w:before="60"/>
        <w:ind w:left="360"/>
      </w:pPr>
      <w:r>
        <w:rPr>
          <w:rFonts w:ascii="Arial" w:eastAsia="Arial" w:hAnsi="Arial" w:cs="Arial"/>
        </w:rPr>
        <w:t>•  Outstanding Oral Abstract Presentation</w:t>
      </w:r>
    </w:p>
    <w:p w14:paraId="2BEFB0BD" w14:textId="77777777" w:rsidR="00AF5F65" w:rsidRDefault="00A360B8">
      <w:pPr>
        <w:spacing w:before="60"/>
        <w:ind w:left="360"/>
      </w:pPr>
      <w:r>
        <w:rPr>
          <w:rFonts w:ascii="Arial" w:eastAsia="Arial" w:hAnsi="Arial" w:cs="Arial"/>
        </w:rPr>
        <w:t>•  Outstanding Large Case Study/Series Poster Abstract</w:t>
      </w:r>
    </w:p>
    <w:p w14:paraId="255C0679" w14:textId="77777777" w:rsidR="00AF5F65" w:rsidRDefault="00A360B8">
      <w:pPr>
        <w:spacing w:before="60"/>
        <w:ind w:left="360"/>
      </w:pPr>
      <w:r>
        <w:rPr>
          <w:rFonts w:ascii="Arial" w:eastAsia="Arial" w:hAnsi="Arial" w:cs="Arial"/>
        </w:rPr>
        <w:t>•  Outstanding Resident Poster Abstract</w:t>
      </w:r>
    </w:p>
    <w:p w14:paraId="56711231" w14:textId="77777777" w:rsidR="00AF5F65" w:rsidRDefault="00A360B8">
      <w:pPr>
        <w:spacing w:before="60"/>
        <w:ind w:left="360"/>
      </w:pPr>
      <w:r>
        <w:rPr>
          <w:rFonts w:ascii="Arial" w:eastAsia="Arial" w:hAnsi="Arial" w:cs="Arial"/>
        </w:rPr>
        <w:t>•  Outstanding Single Case or Small Case Study/Series Poster Abstract</w:t>
      </w:r>
    </w:p>
    <w:p w14:paraId="4AD3D185" w14:textId="77777777" w:rsidR="00AF5F65" w:rsidRDefault="00A360B8">
      <w:pPr>
        <w:spacing w:before="60"/>
        <w:ind w:left="360"/>
        <w:rPr>
          <w:rFonts w:ascii="Arial" w:eastAsia="Arial" w:hAnsi="Arial" w:cs="Arial"/>
        </w:rPr>
      </w:pPr>
      <w:r>
        <w:rPr>
          <w:rFonts w:ascii="Arial" w:eastAsia="Arial" w:hAnsi="Arial" w:cs="Arial"/>
        </w:rPr>
        <w:t>•  Outstanding Student Poster Abstract</w:t>
      </w:r>
    </w:p>
    <w:p w14:paraId="0072C833" w14:textId="005AD3C6" w:rsidR="003C313A" w:rsidRPr="003C313A" w:rsidRDefault="00A61A78" w:rsidP="00A61A78">
      <w:pPr>
        <w:spacing w:before="60"/>
        <w:ind w:left="360"/>
      </w:pPr>
      <w:r>
        <w:rPr>
          <w:rFonts w:ascii="Arial" w:eastAsia="Arial" w:hAnsi="Arial" w:cs="Arial"/>
        </w:rPr>
        <w:t xml:space="preserve">•  </w:t>
      </w:r>
      <w:commentRangeStart w:id="0"/>
      <w:commentRangeStart w:id="1"/>
      <w:commentRangeStart w:id="2"/>
      <w:r>
        <w:rPr>
          <w:rFonts w:ascii="Arial" w:eastAsia="Arial" w:hAnsi="Arial" w:cs="Arial"/>
        </w:rPr>
        <w:t>Outstanding American Public Health Association (APHA) Foot and Ankle Health (FAH Section) Poster   Abstract</w:t>
      </w:r>
      <w:commentRangeEnd w:id="0"/>
      <w:r>
        <w:rPr>
          <w:rStyle w:val="CommentReference"/>
          <w:rFonts w:ascii="Arial" w:eastAsia="Arial" w:hAnsi="Arial" w:cs="Arial"/>
          <w:sz w:val="20"/>
          <w:szCs w:val="20"/>
          <w:vertAlign w:val="superscript"/>
        </w:rPr>
        <w:commentReference w:id="0"/>
      </w:r>
      <w:commentRangeEnd w:id="1"/>
      <w:r>
        <w:rPr>
          <w:rStyle w:val="CommentReference"/>
          <w:rFonts w:ascii="Arial" w:eastAsia="Arial" w:hAnsi="Arial" w:cs="Arial"/>
          <w:sz w:val="20"/>
          <w:szCs w:val="20"/>
          <w:vertAlign w:val="superscript"/>
        </w:rPr>
        <w:commentReference w:id="1"/>
      </w:r>
      <w:commentRangeEnd w:id="2"/>
      <w:r>
        <w:rPr>
          <w:rStyle w:val="CommentReference"/>
          <w:rFonts w:ascii="Arial" w:eastAsia="Arial" w:hAnsi="Arial" w:cs="Arial"/>
          <w:sz w:val="20"/>
          <w:szCs w:val="20"/>
          <w:vertAlign w:val="superscript"/>
        </w:rPr>
        <w:commentReference w:id="2"/>
      </w:r>
      <w:r>
        <w:rPr>
          <w:rStyle w:val="FootnoteReference"/>
          <w:rFonts w:ascii="Arial" w:eastAsia="Arial" w:hAnsi="Arial" w:cs="Arial"/>
        </w:rPr>
        <w:footnoteReference w:id="1"/>
      </w:r>
    </w:p>
    <w:p w14:paraId="6D1D4193" w14:textId="77777777" w:rsidR="003C313A" w:rsidRDefault="003C313A">
      <w:pPr>
        <w:spacing w:before="60"/>
        <w:ind w:left="360"/>
      </w:pPr>
    </w:p>
    <w:p w14:paraId="6347BCB6" w14:textId="77777777" w:rsidR="00AF5F65" w:rsidRPr="001113FB" w:rsidRDefault="00A360B8">
      <w:pPr>
        <w:spacing w:after="100"/>
        <w:rPr>
          <w:sz w:val="28"/>
          <w:szCs w:val="28"/>
        </w:rPr>
      </w:pPr>
      <w:r w:rsidRPr="001113FB">
        <w:rPr>
          <w:rFonts w:ascii="Arial" w:eastAsia="Arial" w:hAnsi="Arial" w:cs="Arial"/>
          <w:b/>
          <w:bCs/>
          <w:sz w:val="28"/>
          <w:szCs w:val="28"/>
        </w:rPr>
        <w:t>Award Criteria</w:t>
      </w:r>
    </w:p>
    <w:p w14:paraId="521F8103" w14:textId="77777777" w:rsidR="00AF5F65" w:rsidRDefault="00A360B8">
      <w:pPr>
        <w:spacing w:after="160"/>
        <w:rPr>
          <w:rFonts w:ascii="Arial" w:eastAsia="Arial" w:hAnsi="Arial" w:cs="Arial"/>
        </w:rPr>
      </w:pPr>
      <w:r>
        <w:rPr>
          <w:rFonts w:ascii="Arial" w:eastAsia="Arial" w:hAnsi="Arial" w:cs="Arial"/>
        </w:rPr>
        <w:t>The judges will consider the visual design and impact of the poster as well as the significance of the study, including its importance to the advancement of the practice of podiatric medicine and surgery. Other factors the judges will evaluate include: the study’s content and clarity; specific number of cases or specimens studied; clinical or research data to support study conclusions; minimum follow-up of one year per patient for results describing reconstructive procedures; and new or modified techniques as they relate to diagnosis, surgery, complications, or other phases of podiatric medical and surgical problems.</w:t>
      </w:r>
    </w:p>
    <w:p w14:paraId="61B96179" w14:textId="3CBB9189" w:rsidR="00E06D04" w:rsidRPr="001113FB" w:rsidRDefault="00E06D04" w:rsidP="00E06D04">
      <w:pPr>
        <w:spacing w:after="100"/>
        <w:rPr>
          <w:sz w:val="28"/>
          <w:szCs w:val="28"/>
        </w:rPr>
      </w:pPr>
      <w:r w:rsidRPr="001113FB">
        <w:rPr>
          <w:rFonts w:ascii="Arial" w:eastAsia="Arial" w:hAnsi="Arial" w:cs="Arial"/>
          <w:b/>
          <w:bCs/>
          <w:sz w:val="28"/>
          <w:szCs w:val="28"/>
        </w:rPr>
        <w:t>Attendee’s Choice Award</w:t>
      </w:r>
    </w:p>
    <w:p w14:paraId="50A42A19" w14:textId="41590A71" w:rsidR="008824B4" w:rsidRDefault="008824B4">
      <w:pPr>
        <w:spacing w:after="160"/>
      </w:pPr>
      <w:r>
        <w:rPr>
          <w:rFonts w:ascii="Arial" w:eastAsia="Arial" w:hAnsi="Arial" w:cs="Arial"/>
        </w:rPr>
        <w:t xml:space="preserve">This year, YOU help decide the best poster at The National! Browse the posters on display in Ryman Hall B1, then cast your vote through the meeting app under Poster Abstract Symposium by 2:30 p.m. on Saturday. Each attendee gets only one vote. The poster with the most votes will receive the Attendee’s Choice Award and $250. </w:t>
      </w:r>
    </w:p>
    <w:p w14:paraId="63496C83" w14:textId="77777777" w:rsidR="00AF5F65" w:rsidRPr="00EA358A" w:rsidRDefault="00A360B8">
      <w:pPr>
        <w:spacing w:after="120"/>
      </w:pPr>
      <w:r>
        <w:rPr>
          <w:rFonts w:ascii="Arial" w:eastAsia="Arial" w:hAnsi="Arial" w:cs="Arial"/>
          <w:b/>
          <w:bCs/>
          <w:sz w:val="28"/>
          <w:szCs w:val="28"/>
        </w:rPr>
        <w:t>2026 Poster Abstracts</w:t>
      </w:r>
    </w:p>
    <w:p w14:paraId="12D4C85E" w14:textId="7B46959D" w:rsidR="00AF5F65" w:rsidRDefault="00A360B8">
      <w:pPr>
        <w:spacing w:after="200"/>
        <w:rPr>
          <w:rFonts w:ascii="Arial" w:eastAsia="Arial" w:hAnsi="Arial" w:cs="Arial"/>
        </w:rPr>
      </w:pPr>
      <w:r>
        <w:rPr>
          <w:rFonts w:ascii="Arial" w:eastAsia="Arial" w:hAnsi="Arial" w:cs="Arial"/>
        </w:rPr>
        <w:t>Poster abstracts will be on display in the Gaylord Opryland Resort &amp; Convention Center from Fri</w:t>
      </w:r>
      <w:commentRangeStart w:id="3"/>
      <w:commentRangeStart w:id="4"/>
      <w:r>
        <w:rPr>
          <w:rFonts w:ascii="Arial" w:eastAsia="Arial" w:hAnsi="Arial" w:cs="Arial"/>
        </w:rPr>
        <w:t xml:space="preserve">day, August </w:t>
      </w:r>
      <w:commentRangeEnd w:id="3"/>
      <w:r>
        <w:rPr>
          <w:rStyle w:val="CommentReference"/>
          <w:rFonts w:ascii="Arial" w:eastAsia="Arial" w:hAnsi="Arial" w:cs="Arial"/>
          <w:sz w:val="20"/>
          <w:szCs w:val="20"/>
        </w:rPr>
        <w:commentReference w:id="3"/>
      </w:r>
      <w:commentRangeEnd w:id="4"/>
      <w:r>
        <w:rPr>
          <w:rStyle w:val="CommentReference"/>
          <w:rFonts w:ascii="Arial" w:eastAsia="Arial" w:hAnsi="Arial" w:cs="Arial"/>
          <w:sz w:val="20"/>
          <w:szCs w:val="20"/>
        </w:rPr>
        <w:commentReference w:id="4"/>
      </w:r>
      <w:r>
        <w:rPr>
          <w:rFonts w:ascii="Arial" w:eastAsia="Arial" w:hAnsi="Arial" w:cs="Arial"/>
        </w:rPr>
        <w:t xml:space="preserve">7 to Saturday, August 8. Poster abstract authors will be on hand to discuss their research findings during the Poster Abstracts Symposium on Saturday, August 8 from 1:30 – 2:30 p.m. </w:t>
      </w:r>
    </w:p>
    <w:p w14:paraId="32F8E4C5" w14:textId="5BF4233C" w:rsidR="004E08BB" w:rsidRPr="00391094" w:rsidRDefault="004E08BB" w:rsidP="00391094">
      <w:pPr>
        <w:spacing w:after="120"/>
      </w:pPr>
      <w:r>
        <w:rPr>
          <w:rFonts w:ascii="Arial" w:eastAsia="Arial" w:hAnsi="Arial" w:cs="Arial"/>
          <w:b/>
          <w:bCs/>
          <w:sz w:val="28"/>
          <w:szCs w:val="28"/>
        </w:rPr>
        <w:t>2026 Oral Abstracts</w:t>
      </w:r>
    </w:p>
    <w:p w14:paraId="2C6706BA" w14:textId="0FB1CC57" w:rsidR="001B5B19" w:rsidRPr="001B5B19" w:rsidRDefault="001B5B19">
      <w:pPr>
        <w:spacing w:after="200"/>
        <w:rPr>
          <w:rFonts w:ascii="Arial" w:hAnsi="Arial" w:cs="Arial"/>
        </w:rPr>
      </w:pPr>
      <w:r>
        <w:rPr>
          <w:rFonts w:ascii="Arial" w:hAnsi="Arial" w:cs="Arial"/>
        </w:rPr>
        <w:t>Abstracts selected for oral presentation will be presented on Saturday, August 8 from 10:30 a.m.–12:00 p.m.</w:t>
      </w:r>
    </w:p>
    <w:p w14:paraId="4F3BB525" w14:textId="00D89953" w:rsidR="001B5B19" w:rsidRPr="003432C9" w:rsidRDefault="001B5B19" w:rsidP="001B5B19">
      <w:pPr>
        <w:pBdr>
          <w:bottom w:val="single" w:sz="8" w:space="4" w:color="2E75B6"/>
        </w:pBdr>
        <w:spacing w:before="280" w:after="100"/>
      </w:pPr>
      <w:r>
        <w:rPr>
          <w:rFonts w:ascii="Arial" w:eastAsia="Arial" w:hAnsi="Arial" w:cs="Arial"/>
          <w:b/>
          <w:bCs/>
          <w:sz w:val="26"/>
          <w:szCs w:val="26"/>
        </w:rPr>
        <w:t>Oral Abstracts</w:t>
      </w:r>
    </w:p>
    <w:p w14:paraId="3BB0F56A" w14:textId="77777777" w:rsidR="00FF4B10" w:rsidRPr="003432C9" w:rsidRDefault="00FF4B10" w:rsidP="007946D3">
      <w:pPr>
        <w:rPr>
          <w:rFonts w:ascii="Arial" w:eastAsia="Arial" w:hAnsi="Arial" w:cs="Arial"/>
          <w:sz w:val="18"/>
          <w:szCs w:val="18"/>
        </w:rPr>
      </w:pPr>
    </w:p>
    <w:p w14:paraId="1EC84419" w14:textId="634DD353" w:rsidR="007946D3" w:rsidRPr="00806404" w:rsidRDefault="007946D3" w:rsidP="007946D3">
      <w:pPr>
        <w:rPr>
          <w:rFonts w:ascii="Arial" w:eastAsia="Arial" w:hAnsi="Arial" w:cs="Arial"/>
          <w:b/>
          <w:bCs/>
          <w:color w:val="444444"/>
        </w:rPr>
      </w:pPr>
      <w:r>
        <w:rPr>
          <w:rFonts w:ascii="Arial" w:eastAsia="Arial" w:hAnsi="Arial" w:cs="Arial"/>
          <w:b/>
          <w:bCs/>
        </w:rPr>
        <w:t xml:space="preserve">Indicative </w:t>
      </w:r>
      <w:r>
        <w:rPr>
          <w:rFonts w:ascii="Arial" w:eastAsia="Arial" w:hAnsi="Arial" w:cs="Arial"/>
          <w:b/>
          <w:bCs/>
          <w:color w:val="444444"/>
        </w:rPr>
        <w:t>Risk of Acute and Chronic Hyperglycemia on the Development of Ankle Joint Limitation and Equinus Deformity in the Diabetic Patient</w:t>
      </w:r>
    </w:p>
    <w:p w14:paraId="5F9B08D1" w14:textId="4D05DD51" w:rsidR="00781836" w:rsidRDefault="00B7395E" w:rsidP="007946D3">
      <w:pPr>
        <w:rPr>
          <w:rFonts w:ascii="Arial" w:eastAsia="Arial" w:hAnsi="Arial" w:cs="Arial"/>
          <w:i/>
          <w:iCs/>
          <w:sz w:val="18"/>
          <w:szCs w:val="18"/>
        </w:rPr>
      </w:pPr>
      <w:r>
        <w:rPr>
          <w:rFonts w:ascii="Arial" w:eastAsia="Arial" w:hAnsi="Arial" w:cs="Arial"/>
          <w:color w:val="444444"/>
          <w:sz w:val="18"/>
          <w:szCs w:val="18"/>
        </w:rPr>
        <w:t>Alex S. Fleischman, DPM</w:t>
      </w:r>
      <w:r>
        <w:rPr>
          <w:rFonts w:ascii="Arial" w:eastAsia="Arial" w:hAnsi="Arial" w:cs="Arial"/>
          <w:i/>
          <w:iCs/>
          <w:sz w:val="18"/>
          <w:szCs w:val="18"/>
        </w:rPr>
        <w:t>‡</w:t>
      </w:r>
    </w:p>
    <w:p w14:paraId="7CBAAD66" w14:textId="77777777" w:rsidR="002B12AA" w:rsidRDefault="002B12AA" w:rsidP="002B12AA">
      <w:r>
        <w:rPr>
          <w:rFonts w:ascii="Arial" w:eastAsia="Arial" w:hAnsi="Arial" w:cs="Arial"/>
          <w:color w:val="444444"/>
          <w:sz w:val="18"/>
          <w:szCs w:val="18"/>
        </w:rPr>
        <w:t>Sam Adegboyega, DPM</w:t>
      </w:r>
    </w:p>
    <w:p w14:paraId="0369B1DB" w14:textId="77777777" w:rsidR="00FF4B10" w:rsidRDefault="00FF4B10" w:rsidP="007946D3">
      <w:pPr>
        <w:rPr>
          <w:rFonts w:ascii="Arial" w:eastAsia="Arial" w:hAnsi="Arial" w:cs="Arial"/>
          <w:color w:val="444444"/>
          <w:sz w:val="18"/>
          <w:szCs w:val="18"/>
        </w:rPr>
      </w:pPr>
    </w:p>
    <w:p w14:paraId="272A9791" w14:textId="08D8DC87" w:rsidR="007946D3" w:rsidRPr="0064083E" w:rsidRDefault="007946D3" w:rsidP="007946D3">
      <w:pPr>
        <w:rPr>
          <w:rFonts w:ascii="Arial" w:eastAsia="Arial" w:hAnsi="Arial" w:cs="Arial"/>
          <w:b/>
          <w:bCs/>
          <w:color w:val="444444"/>
        </w:rPr>
      </w:pPr>
      <w:r>
        <w:rPr>
          <w:rFonts w:ascii="Arial" w:eastAsia="Arial" w:hAnsi="Arial" w:cs="Arial"/>
          <w:b/>
          <w:bCs/>
          <w:color w:val="444444"/>
        </w:rPr>
        <w:t>Early Weight-Bearing Protocol For Operative Treatment of Zone 1 Fifth Metatarsal Base Fractures</w:t>
      </w:r>
    </w:p>
    <w:p w14:paraId="517261FD" w14:textId="173B9F46" w:rsidR="00B524B9" w:rsidRDefault="00781836" w:rsidP="007946D3">
      <w:pPr>
        <w:rPr>
          <w:rFonts w:ascii="Arial" w:eastAsia="Arial" w:hAnsi="Arial" w:cs="Arial"/>
          <w:color w:val="444444"/>
          <w:sz w:val="18"/>
          <w:szCs w:val="18"/>
        </w:rPr>
      </w:pPr>
      <w:r>
        <w:rPr>
          <w:rFonts w:ascii="Arial" w:eastAsia="Arial" w:hAnsi="Arial" w:cs="Arial"/>
          <w:color w:val="444444"/>
          <w:sz w:val="18"/>
          <w:szCs w:val="18"/>
        </w:rPr>
        <w:t>Patrick M. Robinson, DPM, MS</w:t>
      </w:r>
      <w:r>
        <w:rPr>
          <w:rFonts w:ascii="Arial" w:eastAsia="Arial" w:hAnsi="Arial" w:cs="Arial"/>
          <w:i/>
          <w:iCs/>
          <w:sz w:val="18"/>
          <w:szCs w:val="18"/>
        </w:rPr>
        <w:t>†</w:t>
      </w:r>
    </w:p>
    <w:p w14:paraId="66ACF5DC" w14:textId="1EE2E6A4" w:rsidR="00185AE0" w:rsidRDefault="00185AE0" w:rsidP="007946D3">
      <w:pPr>
        <w:rPr>
          <w:rFonts w:ascii="Arial" w:eastAsia="Arial" w:hAnsi="Arial" w:cs="Arial"/>
          <w:color w:val="444444"/>
          <w:sz w:val="18"/>
          <w:szCs w:val="18"/>
        </w:rPr>
      </w:pPr>
      <w:r>
        <w:rPr>
          <w:rFonts w:ascii="Arial" w:eastAsia="Arial" w:hAnsi="Arial" w:cs="Arial"/>
          <w:color w:val="444444"/>
          <w:sz w:val="18"/>
          <w:szCs w:val="18"/>
        </w:rPr>
        <w:t>Shoueb Malik, DPM</w:t>
      </w:r>
    </w:p>
    <w:p w14:paraId="3B7EAC31" w14:textId="104DB6B2" w:rsidR="00130C5B" w:rsidRPr="007946D3" w:rsidRDefault="00130C5B" w:rsidP="007946D3">
      <w:pPr>
        <w:rPr>
          <w:rFonts w:ascii="Arial" w:eastAsia="Arial" w:hAnsi="Arial" w:cs="Arial"/>
          <w:color w:val="444444"/>
          <w:sz w:val="18"/>
          <w:szCs w:val="18"/>
        </w:rPr>
      </w:pPr>
      <w:r>
        <w:rPr>
          <w:rFonts w:ascii="Arial" w:eastAsia="Arial" w:hAnsi="Arial" w:cs="Arial"/>
          <w:color w:val="444444"/>
          <w:sz w:val="18"/>
          <w:szCs w:val="18"/>
        </w:rPr>
        <w:t>Matthew D. Sorensen, DPM</w:t>
      </w:r>
    </w:p>
    <w:p w14:paraId="688E57B3" w14:textId="77777777" w:rsidR="00906936" w:rsidRDefault="00906936" w:rsidP="007946D3">
      <w:pPr>
        <w:rPr>
          <w:rFonts w:ascii="Arial" w:eastAsia="Arial" w:hAnsi="Arial" w:cs="Arial"/>
          <w:color w:val="444444"/>
          <w:sz w:val="18"/>
          <w:szCs w:val="18"/>
        </w:rPr>
      </w:pPr>
    </w:p>
    <w:p w14:paraId="28054C73" w14:textId="0B76D321" w:rsidR="007946D3" w:rsidRPr="0064083E" w:rsidRDefault="007946D3" w:rsidP="007946D3">
      <w:pPr>
        <w:rPr>
          <w:rFonts w:ascii="Arial" w:eastAsia="Arial" w:hAnsi="Arial" w:cs="Arial"/>
          <w:b/>
          <w:bCs/>
          <w:color w:val="444444"/>
        </w:rPr>
      </w:pPr>
      <w:r>
        <w:rPr>
          <w:rFonts w:ascii="Arial" w:eastAsia="Arial" w:hAnsi="Arial" w:cs="Arial"/>
          <w:b/>
          <w:bCs/>
          <w:color w:val="444444"/>
        </w:rPr>
        <w:t>Ability of Pedal Medial Arterial Calcification to Predict Outcomes after Transmetatarsal Amputation</w:t>
      </w:r>
    </w:p>
    <w:p w14:paraId="2DFC2F48" w14:textId="5CA672AB" w:rsidR="00B524B9" w:rsidRDefault="00B524B9" w:rsidP="00B524B9">
      <w:pPr>
        <w:rPr>
          <w:rFonts w:ascii="Arial" w:hAnsi="Arial" w:cs="Arial"/>
          <w:sz w:val="18"/>
          <w:szCs w:val="18"/>
        </w:rPr>
      </w:pPr>
      <w:r>
        <w:rPr>
          <w:rFonts w:ascii="Arial" w:hAnsi="Arial" w:cs="Arial"/>
          <w:sz w:val="18"/>
          <w:szCs w:val="18"/>
        </w:rPr>
        <w:t>Jennifer Skolnik, DPM</w:t>
      </w:r>
      <w:r>
        <w:rPr>
          <w:rFonts w:ascii="Arial" w:eastAsia="Arial" w:hAnsi="Arial" w:cs="Arial"/>
          <w:i/>
          <w:iCs/>
          <w:sz w:val="18"/>
          <w:szCs w:val="18"/>
        </w:rPr>
        <w:t>†</w:t>
      </w:r>
    </w:p>
    <w:p w14:paraId="324A68D8" w14:textId="5C07B32A" w:rsidR="00C0593B" w:rsidRDefault="00C0593B" w:rsidP="00B524B9">
      <w:pPr>
        <w:rPr>
          <w:rFonts w:ascii="Arial" w:hAnsi="Arial" w:cs="Arial"/>
          <w:sz w:val="18"/>
          <w:szCs w:val="18"/>
        </w:rPr>
      </w:pPr>
      <w:r>
        <w:rPr>
          <w:rFonts w:ascii="Arial" w:hAnsi="Arial" w:cs="Arial"/>
          <w:sz w:val="18"/>
          <w:szCs w:val="18"/>
        </w:rPr>
        <w:t>Darrah Speis</w:t>
      </w:r>
    </w:p>
    <w:p w14:paraId="4A1F6570" w14:textId="2E90FA6F" w:rsidR="00C0593B" w:rsidRDefault="00C0593B" w:rsidP="00B524B9">
      <w:pPr>
        <w:rPr>
          <w:rFonts w:ascii="Arial" w:hAnsi="Arial" w:cs="Arial"/>
          <w:sz w:val="18"/>
          <w:szCs w:val="18"/>
        </w:rPr>
      </w:pPr>
      <w:r>
        <w:rPr>
          <w:rFonts w:ascii="Arial" w:hAnsi="Arial" w:cs="Arial"/>
          <w:sz w:val="18"/>
          <w:szCs w:val="18"/>
        </w:rPr>
        <w:t>Sahil Kapadia</w:t>
      </w:r>
    </w:p>
    <w:p w14:paraId="6FCEBE83" w14:textId="59E74333" w:rsidR="00C0593B" w:rsidRDefault="009D152D" w:rsidP="00B524B9">
      <w:pPr>
        <w:rPr>
          <w:rFonts w:ascii="Arial" w:hAnsi="Arial" w:cs="Arial"/>
          <w:sz w:val="18"/>
          <w:szCs w:val="18"/>
        </w:rPr>
      </w:pPr>
      <w:r>
        <w:rPr>
          <w:rFonts w:ascii="Arial" w:hAnsi="Arial" w:cs="Arial"/>
          <w:sz w:val="18"/>
          <w:szCs w:val="18"/>
        </w:rPr>
        <w:t>Aanchal Sharma, MBS</w:t>
      </w:r>
    </w:p>
    <w:p w14:paraId="7AD3549F" w14:textId="5ABCFF44" w:rsidR="009D152D" w:rsidRDefault="009D152D" w:rsidP="00B524B9">
      <w:pPr>
        <w:rPr>
          <w:rFonts w:ascii="Arial" w:hAnsi="Arial" w:cs="Arial"/>
          <w:sz w:val="18"/>
          <w:szCs w:val="18"/>
        </w:rPr>
      </w:pPr>
      <w:r>
        <w:rPr>
          <w:rFonts w:ascii="Arial" w:hAnsi="Arial" w:cs="Arial"/>
          <w:sz w:val="18"/>
          <w:szCs w:val="18"/>
        </w:rPr>
        <w:t>Nicole Sciotti</w:t>
      </w:r>
    </w:p>
    <w:p w14:paraId="690A77FB" w14:textId="67AE2CB9" w:rsidR="009D152D" w:rsidRDefault="009D152D" w:rsidP="00B524B9">
      <w:pPr>
        <w:rPr>
          <w:rFonts w:ascii="Arial" w:hAnsi="Arial" w:cs="Arial"/>
          <w:sz w:val="18"/>
          <w:szCs w:val="18"/>
        </w:rPr>
      </w:pPr>
      <w:r>
        <w:rPr>
          <w:rFonts w:ascii="Arial" w:hAnsi="Arial" w:cs="Arial"/>
          <w:sz w:val="18"/>
          <w:szCs w:val="18"/>
        </w:rPr>
        <w:t>Zoreed Mukhtar</w:t>
      </w:r>
    </w:p>
    <w:p w14:paraId="66691096" w14:textId="72C0F251" w:rsidR="009D152D" w:rsidRPr="00210819" w:rsidRDefault="002E7C0C" w:rsidP="00B524B9">
      <w:pPr>
        <w:rPr>
          <w:rFonts w:ascii="Arial" w:hAnsi="Arial" w:cs="Arial"/>
          <w:sz w:val="18"/>
          <w:szCs w:val="18"/>
        </w:rPr>
      </w:pPr>
      <w:r>
        <w:rPr>
          <w:rFonts w:ascii="Arial" w:hAnsi="Arial" w:cs="Arial"/>
          <w:sz w:val="18"/>
          <w:szCs w:val="18"/>
        </w:rPr>
        <w:t>Sara Rose-Sauld, DPM</w:t>
      </w:r>
    </w:p>
    <w:p w14:paraId="461FBB29" w14:textId="77777777" w:rsidR="00B7395E" w:rsidRDefault="00B7395E" w:rsidP="00B524B9">
      <w:pPr>
        <w:rPr>
          <w:rFonts w:ascii="Arial" w:hAnsi="Arial" w:cs="Arial"/>
        </w:rPr>
      </w:pPr>
    </w:p>
    <w:p w14:paraId="004797BB" w14:textId="77777777" w:rsidR="00E545EE" w:rsidRPr="00E545EE" w:rsidRDefault="00E545EE" w:rsidP="00E545EE">
      <w:pPr>
        <w:rPr>
          <w:rFonts w:ascii="Arial" w:hAnsi="Arial" w:cs="Arial"/>
          <w:b/>
          <w:bCs/>
        </w:rPr>
      </w:pPr>
      <w:r>
        <w:rPr>
          <w:rFonts w:ascii="Arial" w:hAnsi="Arial" w:cs="Arial"/>
          <w:b/>
          <w:bCs/>
        </w:rPr>
        <w:t>Percutaneous Extracanal Fully Threaded Screw Fixation to Augment TTC/TC Intramedullary Nail Constructs in Charcot Neuropathic Hindfoot Reconstruction: A Retrospective Case Series</w:t>
      </w:r>
    </w:p>
    <w:p w14:paraId="3158F975" w14:textId="2528463E" w:rsidR="0030693A" w:rsidRDefault="0030693A" w:rsidP="00E545EE">
      <w:pPr>
        <w:rPr>
          <w:rFonts w:ascii="Arial" w:hAnsi="Arial" w:cs="Arial"/>
          <w:sz w:val="18"/>
          <w:szCs w:val="18"/>
        </w:rPr>
      </w:pPr>
      <w:r>
        <w:rPr>
          <w:rFonts w:ascii="Arial" w:hAnsi="Arial" w:cs="Arial"/>
          <w:sz w:val="18"/>
          <w:szCs w:val="18"/>
        </w:rPr>
        <w:t>Talem Franco, DPM</w:t>
      </w:r>
      <w:r>
        <w:rPr>
          <w:rFonts w:ascii="Arial" w:eastAsia="Arial" w:hAnsi="Arial" w:cs="Arial"/>
          <w:i/>
          <w:iCs/>
          <w:sz w:val="18"/>
          <w:szCs w:val="18"/>
        </w:rPr>
        <w:t>‡</w:t>
      </w:r>
      <w:r>
        <w:rPr>
          <w:rFonts w:ascii="Arial" w:hAnsi="Arial" w:cs="Arial"/>
          <w:sz w:val="18"/>
          <w:szCs w:val="18"/>
        </w:rPr>
        <w:t xml:space="preserve"> </w:t>
      </w:r>
    </w:p>
    <w:p w14:paraId="559494B5" w14:textId="4588153E" w:rsidR="00E545EE" w:rsidRDefault="00E545EE" w:rsidP="00E545EE">
      <w:pPr>
        <w:rPr>
          <w:rFonts w:ascii="Arial" w:hAnsi="Arial" w:cs="Arial"/>
          <w:sz w:val="18"/>
          <w:szCs w:val="18"/>
        </w:rPr>
      </w:pPr>
      <w:r>
        <w:rPr>
          <w:rFonts w:ascii="Arial" w:hAnsi="Arial" w:cs="Arial"/>
          <w:sz w:val="18"/>
          <w:szCs w:val="18"/>
        </w:rPr>
        <w:t>Jeffrey Loveland, DPM</w:t>
      </w:r>
    </w:p>
    <w:p w14:paraId="2E01CECC" w14:textId="6EAD6091" w:rsidR="0030693A" w:rsidRPr="00E545EE" w:rsidRDefault="00F1650A" w:rsidP="00E545EE">
      <w:pPr>
        <w:rPr>
          <w:rFonts w:ascii="Arial" w:hAnsi="Arial" w:cs="Arial"/>
          <w:sz w:val="18"/>
          <w:szCs w:val="18"/>
        </w:rPr>
      </w:pPr>
      <w:r>
        <w:rPr>
          <w:rFonts w:ascii="Arial" w:hAnsi="Arial" w:cs="Arial"/>
          <w:sz w:val="18"/>
          <w:szCs w:val="18"/>
        </w:rPr>
        <w:t>Eva Loveland</w:t>
      </w:r>
    </w:p>
    <w:p w14:paraId="1A2B0ABC" w14:textId="77777777" w:rsidR="00E545EE" w:rsidRDefault="00E545EE" w:rsidP="00B7395E">
      <w:pPr>
        <w:rPr>
          <w:rFonts w:ascii="Arial" w:hAnsi="Arial" w:cs="Arial"/>
          <w:b/>
          <w:bCs/>
        </w:rPr>
      </w:pPr>
    </w:p>
    <w:p w14:paraId="605A1B06" w14:textId="5459F579" w:rsidR="00B7395E" w:rsidRPr="00210819" w:rsidRDefault="00B7395E" w:rsidP="00B7395E">
      <w:pPr>
        <w:rPr>
          <w:rFonts w:ascii="Arial" w:hAnsi="Arial" w:cs="Arial"/>
          <w:b/>
          <w:bCs/>
        </w:rPr>
      </w:pPr>
      <w:r>
        <w:rPr>
          <w:rFonts w:ascii="Arial" w:hAnsi="Arial" w:cs="Arial"/>
          <w:b/>
          <w:bCs/>
        </w:rPr>
        <w:t>Multiplanar Evaluation of First Ray Hypermobility</w:t>
      </w:r>
    </w:p>
    <w:p w14:paraId="7BCB9157" w14:textId="2BD8F895" w:rsidR="00B7395E" w:rsidRDefault="00B7395E" w:rsidP="00B7395E">
      <w:pPr>
        <w:rPr>
          <w:rFonts w:ascii="Arial" w:hAnsi="Arial" w:cs="Arial"/>
          <w:sz w:val="18"/>
          <w:szCs w:val="18"/>
        </w:rPr>
      </w:pPr>
      <w:r>
        <w:rPr>
          <w:rFonts w:ascii="Arial" w:hAnsi="Arial" w:cs="Arial"/>
          <w:sz w:val="18"/>
          <w:szCs w:val="18"/>
        </w:rPr>
        <w:t>Lawrence Oloff, DPM</w:t>
      </w:r>
      <w:r>
        <w:rPr>
          <w:rFonts w:ascii="Arial" w:eastAsia="Arial" w:hAnsi="Arial" w:cs="Arial"/>
          <w:i/>
          <w:iCs/>
          <w:sz w:val="18"/>
          <w:szCs w:val="18"/>
        </w:rPr>
        <w:t>†</w:t>
      </w:r>
    </w:p>
    <w:p w14:paraId="1412F84F" w14:textId="4B1B9280" w:rsidR="00541C5F" w:rsidRDefault="00541C5F" w:rsidP="00B7395E">
      <w:pPr>
        <w:rPr>
          <w:rFonts w:ascii="Arial" w:hAnsi="Arial" w:cs="Arial"/>
          <w:sz w:val="18"/>
          <w:szCs w:val="18"/>
        </w:rPr>
      </w:pPr>
      <w:r>
        <w:rPr>
          <w:rFonts w:ascii="Arial" w:hAnsi="Arial" w:cs="Arial"/>
          <w:sz w:val="18"/>
          <w:szCs w:val="18"/>
        </w:rPr>
        <w:t>Danielle Lee, DPM</w:t>
      </w:r>
    </w:p>
    <w:p w14:paraId="70887448" w14:textId="53446B3B" w:rsidR="00541C5F" w:rsidRDefault="00541C5F" w:rsidP="00B7395E">
      <w:pPr>
        <w:rPr>
          <w:rFonts w:ascii="Arial" w:hAnsi="Arial" w:cs="Arial"/>
          <w:sz w:val="18"/>
          <w:szCs w:val="18"/>
        </w:rPr>
      </w:pPr>
      <w:r>
        <w:rPr>
          <w:rFonts w:ascii="Arial" w:hAnsi="Arial" w:cs="Arial"/>
          <w:sz w:val="18"/>
          <w:szCs w:val="18"/>
        </w:rPr>
        <w:t>Shane Hall, DPM</w:t>
      </w:r>
    </w:p>
    <w:p w14:paraId="3CC8EE38" w14:textId="07F15132" w:rsidR="00541C5F" w:rsidRDefault="002A0CD9" w:rsidP="00B7395E">
      <w:pPr>
        <w:rPr>
          <w:rFonts w:ascii="Arial" w:hAnsi="Arial" w:cs="Arial"/>
          <w:sz w:val="18"/>
          <w:szCs w:val="18"/>
        </w:rPr>
      </w:pPr>
      <w:r>
        <w:rPr>
          <w:rFonts w:ascii="Arial" w:hAnsi="Arial" w:cs="Arial"/>
          <w:sz w:val="18"/>
          <w:szCs w:val="18"/>
        </w:rPr>
        <w:t>Katie Hu, DPM</w:t>
      </w:r>
    </w:p>
    <w:p w14:paraId="7BE8FB98" w14:textId="1264B899" w:rsidR="002A0CD9" w:rsidRPr="00210819" w:rsidRDefault="002A0CD9" w:rsidP="00B7395E">
      <w:pPr>
        <w:rPr>
          <w:rFonts w:ascii="Arial" w:hAnsi="Arial" w:cs="Arial"/>
          <w:sz w:val="18"/>
          <w:szCs w:val="18"/>
        </w:rPr>
      </w:pPr>
      <w:r>
        <w:rPr>
          <w:rFonts w:ascii="Arial" w:hAnsi="Arial" w:cs="Arial"/>
          <w:sz w:val="18"/>
          <w:szCs w:val="18"/>
        </w:rPr>
        <w:t>Daniel Soohoo, DPM</w:t>
      </w:r>
    </w:p>
    <w:p w14:paraId="790D7CE7" w14:textId="77777777" w:rsidR="00906936" w:rsidRDefault="00906936" w:rsidP="007946D3">
      <w:pPr>
        <w:rPr>
          <w:rFonts w:ascii="Arial" w:eastAsia="Arial" w:hAnsi="Arial" w:cs="Arial"/>
          <w:color w:val="444444"/>
          <w:sz w:val="18"/>
          <w:szCs w:val="18"/>
        </w:rPr>
      </w:pPr>
    </w:p>
    <w:p w14:paraId="05E41335" w14:textId="77777777" w:rsidR="00B7395E" w:rsidRPr="00210819" w:rsidRDefault="00B7395E" w:rsidP="00B7395E">
      <w:pPr>
        <w:rPr>
          <w:rFonts w:ascii="Arial" w:eastAsia="Arial" w:hAnsi="Arial" w:cs="Arial"/>
          <w:b/>
          <w:bCs/>
          <w:color w:val="444444"/>
        </w:rPr>
      </w:pPr>
      <w:r>
        <w:rPr>
          <w:rFonts w:ascii="Arial" w:eastAsia="Arial" w:hAnsi="Arial" w:cs="Arial"/>
          <w:b/>
          <w:bCs/>
          <w:color w:val="444444"/>
        </w:rPr>
        <w:t>Abnormal Foot Morphology Among Children with Obesity and the Potential Implications for Public Health</w:t>
      </w:r>
    </w:p>
    <w:p w14:paraId="19C1946D" w14:textId="09430663" w:rsidR="00B7395E" w:rsidRPr="007946D3" w:rsidRDefault="00B7395E" w:rsidP="00B7395E">
      <w:pPr>
        <w:rPr>
          <w:rFonts w:ascii="Arial" w:eastAsia="Arial" w:hAnsi="Arial" w:cs="Arial"/>
          <w:color w:val="444444"/>
          <w:sz w:val="18"/>
          <w:szCs w:val="18"/>
        </w:rPr>
      </w:pPr>
      <w:r>
        <w:rPr>
          <w:rFonts w:ascii="Arial" w:eastAsia="Arial" w:hAnsi="Arial" w:cs="Arial"/>
          <w:color w:val="444444"/>
          <w:sz w:val="18"/>
          <w:szCs w:val="18"/>
        </w:rPr>
        <w:t>Jeffrey A. Ross, DPM, MD</w:t>
      </w:r>
      <w:r>
        <w:rPr>
          <w:rFonts w:ascii="Arial" w:eastAsia="Arial" w:hAnsi="Arial" w:cs="Arial"/>
          <w:i/>
          <w:iCs/>
          <w:sz w:val="18"/>
          <w:szCs w:val="18"/>
        </w:rPr>
        <w:t>†</w:t>
      </w:r>
    </w:p>
    <w:p w14:paraId="08176B69" w14:textId="49B805DF" w:rsidR="00AF5F65" w:rsidRPr="001F0AFE" w:rsidRDefault="00A360B8">
      <w:pPr>
        <w:pBdr>
          <w:bottom w:val="single" w:sz="8" w:space="4" w:color="2E75B6"/>
        </w:pBdr>
        <w:spacing w:before="280" w:after="100"/>
      </w:pPr>
      <w:r>
        <w:rPr>
          <w:rFonts w:ascii="Arial" w:eastAsia="Arial" w:hAnsi="Arial" w:cs="Arial"/>
          <w:b/>
          <w:bCs/>
          <w:sz w:val="26"/>
          <w:szCs w:val="26"/>
        </w:rPr>
        <w:t>American Public Health Association (APHA) Foot and Ankle Health Section Poster Abstract</w:t>
      </w:r>
    </w:p>
    <w:p w14:paraId="05804389" w14:textId="18E51575" w:rsidR="00AF5F65" w:rsidRDefault="00A360B8">
      <w:pPr>
        <w:spacing w:before="180" w:after="60"/>
      </w:pPr>
      <w:r>
        <w:rPr>
          <w:rFonts w:ascii="Arial" w:eastAsia="Arial" w:hAnsi="Arial" w:cs="Arial"/>
          <w:b/>
          <w:bCs/>
          <w:color w:val="000000"/>
        </w:rPr>
        <w:t>1. Impact of Depression in Patients With or Without Type 2 Diabetes Mellitus Undergoing Foot and Ankle Surgery</w:t>
      </w:r>
    </w:p>
    <w:p w14:paraId="24AB8E93" w14:textId="0720496F" w:rsidR="00AF5F65" w:rsidRDefault="00A360B8">
      <w:r>
        <w:rPr>
          <w:rFonts w:ascii="Arial" w:eastAsia="Arial" w:hAnsi="Arial" w:cs="Arial"/>
          <w:color w:val="000000"/>
          <w:sz w:val="18"/>
          <w:szCs w:val="18"/>
        </w:rPr>
        <w:t>Jordan Caine</w:t>
      </w:r>
      <w:r>
        <w:rPr>
          <w:rFonts w:ascii="Arial" w:eastAsia="Arial" w:hAnsi="Arial" w:cs="Arial"/>
          <w:i/>
          <w:iCs/>
          <w:sz w:val="18"/>
          <w:szCs w:val="18"/>
        </w:rPr>
        <w:t>‡</w:t>
      </w:r>
    </w:p>
    <w:p w14:paraId="648972E5" w14:textId="77777777" w:rsidR="00AF5F65" w:rsidRDefault="00A360B8">
      <w:r>
        <w:rPr>
          <w:rFonts w:ascii="Arial" w:eastAsia="Arial" w:hAnsi="Arial" w:cs="Arial"/>
          <w:color w:val="444444"/>
          <w:sz w:val="18"/>
          <w:szCs w:val="18"/>
        </w:rPr>
        <w:t>Fanglong Dong, PhD</w:t>
      </w:r>
    </w:p>
    <w:p w14:paraId="08099EB3" w14:textId="77777777" w:rsidR="00AF5F65" w:rsidRDefault="00A360B8">
      <w:r>
        <w:rPr>
          <w:rFonts w:ascii="Arial" w:eastAsia="Arial" w:hAnsi="Arial" w:cs="Arial"/>
          <w:color w:val="444444"/>
          <w:sz w:val="18"/>
          <w:szCs w:val="18"/>
        </w:rPr>
        <w:t>Jonathan Labovitz, DPM</w:t>
      </w:r>
    </w:p>
    <w:p w14:paraId="7419F4E4" w14:textId="77777777" w:rsidR="00AF5F65" w:rsidRDefault="00A360B8">
      <w:r>
        <w:rPr>
          <w:rFonts w:ascii="Arial" w:eastAsia="Arial" w:hAnsi="Arial" w:cs="Arial"/>
          <w:color w:val="444444"/>
          <w:sz w:val="18"/>
          <w:szCs w:val="18"/>
        </w:rPr>
        <w:t>Carrissa Smith</w:t>
      </w:r>
    </w:p>
    <w:p w14:paraId="22D4D40E" w14:textId="77777777" w:rsidR="00AF5F65" w:rsidRPr="001F0AFE" w:rsidRDefault="00A360B8">
      <w:pPr>
        <w:pBdr>
          <w:bottom w:val="single" w:sz="8" w:space="4" w:color="2E75B6"/>
        </w:pBdr>
        <w:spacing w:before="280" w:after="100"/>
      </w:pPr>
      <w:r>
        <w:rPr>
          <w:rFonts w:ascii="Arial" w:eastAsia="Arial" w:hAnsi="Arial" w:cs="Arial"/>
          <w:b/>
          <w:bCs/>
          <w:sz w:val="26"/>
          <w:szCs w:val="26"/>
        </w:rPr>
        <w:t>Large Case Study/Series</w:t>
      </w:r>
    </w:p>
    <w:p w14:paraId="17497C8C" w14:textId="026E2A33" w:rsidR="00C57B51" w:rsidRDefault="00C57B51" w:rsidP="00C57B51">
      <w:pPr>
        <w:spacing w:before="180" w:after="60"/>
        <w:rPr>
          <w:rFonts w:ascii="Arial" w:eastAsia="Arial" w:hAnsi="Arial" w:cs="Arial"/>
          <w:b/>
          <w:bCs/>
          <w:color w:val="000000"/>
        </w:rPr>
      </w:pPr>
      <w:r>
        <w:rPr>
          <w:rFonts w:ascii="Arial" w:eastAsia="Arial" w:hAnsi="Arial" w:cs="Arial"/>
          <w:b/>
          <w:bCs/>
          <w:color w:val="000000"/>
        </w:rPr>
        <w:t>2. 2025 and 2035 Podiatric Workforce Analyses Based on Health Resources &amp; Services Administration (HRSA) Projections</w:t>
      </w:r>
    </w:p>
    <w:p w14:paraId="0F1A1CB4" w14:textId="77777777" w:rsidR="00C57B51" w:rsidRDefault="00C57B51" w:rsidP="00C57B51">
      <w:r>
        <w:rPr>
          <w:rFonts w:ascii="Arial" w:eastAsia="Arial" w:hAnsi="Arial" w:cs="Arial"/>
          <w:color w:val="000000"/>
          <w:sz w:val="18"/>
          <w:szCs w:val="18"/>
        </w:rPr>
        <w:t>Andrew Meyr, DPM</w:t>
      </w:r>
      <w:r>
        <w:rPr>
          <w:rFonts w:ascii="Arial" w:eastAsia="Arial" w:hAnsi="Arial" w:cs="Arial"/>
          <w:i/>
          <w:iCs/>
          <w:sz w:val="18"/>
          <w:szCs w:val="18"/>
        </w:rPr>
        <w:t>†</w:t>
      </w:r>
    </w:p>
    <w:p w14:paraId="77CBD8DD" w14:textId="77777777" w:rsidR="00C57B51" w:rsidRDefault="00C57B51" w:rsidP="00C57B51">
      <w:pPr>
        <w:rPr>
          <w:rFonts w:ascii="Arial" w:eastAsia="Arial" w:hAnsi="Arial" w:cs="Arial"/>
          <w:b/>
          <w:bCs/>
          <w:color w:val="000000"/>
        </w:rPr>
      </w:pPr>
      <w:r>
        <w:rPr>
          <w:rFonts w:ascii="Arial" w:eastAsia="Arial" w:hAnsi="Arial" w:cs="Arial"/>
          <w:color w:val="444444"/>
          <w:sz w:val="18"/>
          <w:szCs w:val="18"/>
        </w:rPr>
        <w:t>Jeneen Elagha, DPM</w:t>
      </w:r>
    </w:p>
    <w:p w14:paraId="59D7CF10" w14:textId="027ECC57" w:rsidR="00AF5F65" w:rsidRDefault="00C57B51">
      <w:pPr>
        <w:spacing w:before="180" w:after="60"/>
      </w:pPr>
      <w:r>
        <w:rPr>
          <w:rFonts w:ascii="Arial" w:eastAsia="Arial" w:hAnsi="Arial" w:cs="Arial"/>
          <w:b/>
          <w:bCs/>
          <w:color w:val="000000"/>
        </w:rPr>
        <w:t>3. Descriptive Analysis of Commenters to PM News</w:t>
      </w:r>
    </w:p>
    <w:p w14:paraId="472F7892" w14:textId="6ADEBE41" w:rsidR="00AF5F65" w:rsidRDefault="00A360B8">
      <w:r>
        <w:rPr>
          <w:rFonts w:ascii="Arial" w:eastAsia="Arial" w:hAnsi="Arial" w:cs="Arial"/>
          <w:color w:val="000000"/>
          <w:sz w:val="18"/>
          <w:szCs w:val="18"/>
        </w:rPr>
        <w:t>Andrew Meyr, DPM</w:t>
      </w:r>
      <w:r>
        <w:rPr>
          <w:rFonts w:ascii="Arial" w:eastAsia="Arial" w:hAnsi="Arial" w:cs="Arial"/>
          <w:i/>
          <w:iCs/>
          <w:sz w:val="18"/>
          <w:szCs w:val="18"/>
        </w:rPr>
        <w:t>†</w:t>
      </w:r>
    </w:p>
    <w:p w14:paraId="03315821" w14:textId="77777777" w:rsidR="00C57B51" w:rsidRDefault="00A360B8" w:rsidP="00C57B51">
      <w:pPr>
        <w:rPr>
          <w:rFonts w:ascii="Arial" w:eastAsia="Arial" w:hAnsi="Arial" w:cs="Arial"/>
          <w:b/>
          <w:bCs/>
          <w:color w:val="000000"/>
        </w:rPr>
      </w:pPr>
      <w:r>
        <w:rPr>
          <w:rFonts w:ascii="Arial" w:eastAsia="Arial" w:hAnsi="Arial" w:cs="Arial"/>
          <w:color w:val="444444"/>
          <w:sz w:val="18"/>
          <w:szCs w:val="18"/>
        </w:rPr>
        <w:t>Jeneen Elagha, DPM</w:t>
      </w:r>
    </w:p>
    <w:p w14:paraId="4746BA40" w14:textId="77777777" w:rsidR="00C57B51" w:rsidRDefault="00C57B51" w:rsidP="00C57B51">
      <w:pPr>
        <w:rPr>
          <w:rFonts w:ascii="Arial" w:eastAsia="Arial" w:hAnsi="Arial" w:cs="Arial"/>
          <w:b/>
          <w:bCs/>
          <w:color w:val="000000"/>
        </w:rPr>
      </w:pPr>
    </w:p>
    <w:p w14:paraId="170E8A5C" w14:textId="3A3C2203" w:rsidR="00AF5F65" w:rsidRDefault="00C57B51" w:rsidP="00C57B51">
      <w:r>
        <w:rPr>
          <w:rFonts w:ascii="Arial" w:eastAsia="Arial" w:hAnsi="Arial" w:cs="Arial"/>
          <w:b/>
          <w:bCs/>
          <w:color w:val="000000"/>
        </w:rPr>
        <w:t>4. Durability of Podiatric Residency Program Directors: A 10-year Analysis</w:t>
      </w:r>
    </w:p>
    <w:p w14:paraId="23DEB0E3" w14:textId="7E35A6BD" w:rsidR="00AF5F65" w:rsidRDefault="00A360B8">
      <w:r>
        <w:rPr>
          <w:rFonts w:ascii="Arial" w:eastAsia="Arial" w:hAnsi="Arial" w:cs="Arial"/>
          <w:color w:val="000000"/>
          <w:sz w:val="18"/>
          <w:szCs w:val="18"/>
        </w:rPr>
        <w:t>Andrew Meyr, DPM</w:t>
      </w:r>
      <w:r>
        <w:rPr>
          <w:rFonts w:ascii="Arial" w:eastAsia="Arial" w:hAnsi="Arial" w:cs="Arial"/>
          <w:i/>
          <w:iCs/>
          <w:sz w:val="18"/>
          <w:szCs w:val="18"/>
        </w:rPr>
        <w:t>†</w:t>
      </w:r>
    </w:p>
    <w:p w14:paraId="3134A731" w14:textId="77777777" w:rsidR="00AF5F65" w:rsidRDefault="00A360B8">
      <w:pPr>
        <w:rPr>
          <w:rFonts w:ascii="Arial" w:eastAsia="Arial" w:hAnsi="Arial" w:cs="Arial"/>
          <w:color w:val="444444"/>
          <w:sz w:val="18"/>
          <w:szCs w:val="18"/>
        </w:rPr>
      </w:pPr>
      <w:r>
        <w:rPr>
          <w:rFonts w:ascii="Arial" w:eastAsia="Arial" w:hAnsi="Arial" w:cs="Arial"/>
          <w:color w:val="444444"/>
          <w:sz w:val="18"/>
          <w:szCs w:val="18"/>
        </w:rPr>
        <w:t>Jeneen Elagha, DPM</w:t>
      </w:r>
    </w:p>
    <w:p w14:paraId="35987E8F" w14:textId="77777777" w:rsidR="0097626A" w:rsidRPr="0097626A" w:rsidRDefault="0097626A" w:rsidP="0097626A">
      <w:pPr>
        <w:rPr>
          <w:rFonts w:ascii="Arial" w:eastAsia="Arial" w:hAnsi="Arial" w:cs="Arial"/>
          <w:color w:val="444444"/>
          <w:sz w:val="18"/>
          <w:szCs w:val="18"/>
        </w:rPr>
      </w:pPr>
    </w:p>
    <w:p w14:paraId="4BFEDB84" w14:textId="70E384B7" w:rsidR="00AF5F65" w:rsidRDefault="0097626A">
      <w:pPr>
        <w:spacing w:before="180" w:after="60"/>
      </w:pPr>
      <w:r>
        <w:rPr>
          <w:rFonts w:ascii="Arial" w:eastAsia="Arial" w:hAnsi="Arial" w:cs="Arial"/>
          <w:b/>
          <w:bCs/>
          <w:color w:val="000000"/>
        </w:rPr>
        <w:t>5. Efficacy of Brostrom Lateral Ankle Ligament Stabilization Augmentation Surgery for Ankle Instability: A Single-Center Retrospective Review</w:t>
      </w:r>
    </w:p>
    <w:p w14:paraId="0B383332" w14:textId="2F1B361C" w:rsidR="00AF5F65" w:rsidRDefault="00A360B8">
      <w:r>
        <w:rPr>
          <w:rFonts w:ascii="Arial" w:eastAsia="Arial" w:hAnsi="Arial" w:cs="Arial"/>
          <w:color w:val="000000"/>
          <w:sz w:val="18"/>
          <w:szCs w:val="18"/>
        </w:rPr>
        <w:t>Wei Tseng, DPM</w:t>
      </w:r>
      <w:r>
        <w:rPr>
          <w:rFonts w:ascii="Arial" w:eastAsia="Arial" w:hAnsi="Arial" w:cs="Arial"/>
          <w:i/>
          <w:iCs/>
          <w:sz w:val="18"/>
          <w:szCs w:val="18"/>
        </w:rPr>
        <w:t>†</w:t>
      </w:r>
    </w:p>
    <w:p w14:paraId="0610A949" w14:textId="77777777" w:rsidR="00AF5F65" w:rsidRDefault="00A360B8">
      <w:r>
        <w:rPr>
          <w:rFonts w:ascii="Arial" w:eastAsia="Arial" w:hAnsi="Arial" w:cs="Arial"/>
          <w:color w:val="444444"/>
          <w:sz w:val="18"/>
          <w:szCs w:val="18"/>
        </w:rPr>
        <w:t>Alyssa Miyasato, DPM</w:t>
      </w:r>
    </w:p>
    <w:p w14:paraId="483AF7C3" w14:textId="77777777" w:rsidR="00AF5F65" w:rsidRDefault="00A360B8">
      <w:r>
        <w:rPr>
          <w:rFonts w:ascii="Arial" w:eastAsia="Arial" w:hAnsi="Arial" w:cs="Arial"/>
          <w:color w:val="444444"/>
          <w:sz w:val="18"/>
          <w:szCs w:val="18"/>
        </w:rPr>
        <w:t>Hau Pham, DPM</w:t>
      </w:r>
    </w:p>
    <w:p w14:paraId="193FCE0E" w14:textId="64D10017" w:rsidR="00AF5F65" w:rsidRDefault="00A360B8">
      <w:pPr>
        <w:spacing w:before="180" w:after="60"/>
      </w:pPr>
      <w:r>
        <w:rPr>
          <w:rFonts w:ascii="Arial" w:eastAsia="Arial" w:hAnsi="Arial" w:cs="Arial"/>
          <w:b/>
          <w:bCs/>
          <w:color w:val="000000"/>
        </w:rPr>
        <w:t>6. Home-Based Virtual Monitoring Does Not Delay Revascularization in Chronic Limb-Threatening Ischemia</w:t>
      </w:r>
    </w:p>
    <w:p w14:paraId="3FD0BD3D" w14:textId="6DA6ED48" w:rsidR="00AF5F65" w:rsidRDefault="00A360B8">
      <w:r>
        <w:rPr>
          <w:rFonts w:ascii="Arial" w:eastAsia="Arial" w:hAnsi="Arial" w:cs="Arial"/>
          <w:color w:val="000000"/>
          <w:sz w:val="18"/>
          <w:szCs w:val="18"/>
        </w:rPr>
        <w:lastRenderedPageBreak/>
        <w:t>Alek Muro</w:t>
      </w:r>
      <w:r>
        <w:rPr>
          <w:rFonts w:ascii="Arial" w:eastAsia="Arial" w:hAnsi="Arial" w:cs="Arial"/>
          <w:i/>
          <w:iCs/>
          <w:sz w:val="18"/>
          <w:szCs w:val="18"/>
        </w:rPr>
        <w:t>‡</w:t>
      </w:r>
    </w:p>
    <w:p w14:paraId="45F891F2" w14:textId="46A4F9E2" w:rsidR="00AF5F65" w:rsidRDefault="00A360B8">
      <w:r>
        <w:rPr>
          <w:rFonts w:ascii="Arial" w:eastAsia="Arial" w:hAnsi="Arial" w:cs="Arial"/>
          <w:color w:val="444444"/>
          <w:sz w:val="18"/>
          <w:szCs w:val="18"/>
        </w:rPr>
        <w:t>David G. Armstrong, DPM, PhD</w:t>
      </w:r>
    </w:p>
    <w:p w14:paraId="6C03C103" w14:textId="77777777" w:rsidR="00AF5F65" w:rsidRDefault="00A360B8">
      <w:r>
        <w:rPr>
          <w:rFonts w:ascii="Arial" w:eastAsia="Arial" w:hAnsi="Arial" w:cs="Arial"/>
          <w:color w:val="444444"/>
          <w:sz w:val="18"/>
          <w:szCs w:val="18"/>
        </w:rPr>
        <w:t>Noorayn Jafri</w:t>
      </w:r>
    </w:p>
    <w:p w14:paraId="67107098" w14:textId="77777777" w:rsidR="00AF5F65" w:rsidRDefault="00A360B8">
      <w:r>
        <w:rPr>
          <w:rFonts w:ascii="Arial" w:eastAsia="Arial" w:hAnsi="Arial" w:cs="Arial"/>
          <w:color w:val="444444"/>
          <w:sz w:val="18"/>
          <w:szCs w:val="18"/>
        </w:rPr>
        <w:t>Grace Kim</w:t>
      </w:r>
    </w:p>
    <w:p w14:paraId="7CBC759F" w14:textId="77777777" w:rsidR="00AF5F65" w:rsidRDefault="00A360B8">
      <w:r>
        <w:rPr>
          <w:rFonts w:ascii="Arial" w:eastAsia="Arial" w:hAnsi="Arial" w:cs="Arial"/>
          <w:color w:val="444444"/>
          <w:sz w:val="18"/>
          <w:szCs w:val="18"/>
        </w:rPr>
        <w:t>Vivian Li</w:t>
      </w:r>
    </w:p>
    <w:p w14:paraId="64F93F02" w14:textId="77777777" w:rsidR="00AF5F65" w:rsidRDefault="00A360B8">
      <w:r>
        <w:rPr>
          <w:rFonts w:ascii="Arial" w:eastAsia="Arial" w:hAnsi="Arial" w:cs="Arial"/>
          <w:color w:val="444444"/>
          <w:sz w:val="18"/>
          <w:szCs w:val="18"/>
        </w:rPr>
        <w:t>Zachary Rengel, MD</w:t>
      </w:r>
    </w:p>
    <w:p w14:paraId="48F31F72" w14:textId="77777777" w:rsidR="00AF5F65" w:rsidRDefault="00A360B8">
      <w:r>
        <w:rPr>
          <w:rFonts w:ascii="Arial" w:eastAsia="Arial" w:hAnsi="Arial" w:cs="Arial"/>
          <w:color w:val="444444"/>
          <w:sz w:val="18"/>
          <w:szCs w:val="18"/>
        </w:rPr>
        <w:t>Carrie Tackett, DO</w:t>
      </w:r>
    </w:p>
    <w:p w14:paraId="320A2B96" w14:textId="638C1BCA" w:rsidR="00AF5F65" w:rsidRDefault="00A360B8">
      <w:r>
        <w:rPr>
          <w:rFonts w:ascii="Arial" w:eastAsia="Arial" w:hAnsi="Arial" w:cs="Arial"/>
          <w:color w:val="444444"/>
          <w:sz w:val="18"/>
          <w:szCs w:val="18"/>
        </w:rPr>
        <w:t>Tze-Woei Tan, MPH</w:t>
      </w:r>
    </w:p>
    <w:p w14:paraId="4B36E4CB" w14:textId="77777777" w:rsidR="00AF5F65" w:rsidRDefault="00A360B8">
      <w:r>
        <w:rPr>
          <w:rFonts w:ascii="Arial" w:eastAsia="Arial" w:hAnsi="Arial" w:cs="Arial"/>
          <w:color w:val="444444"/>
          <w:sz w:val="18"/>
          <w:szCs w:val="18"/>
        </w:rPr>
        <w:t>Jaron Wharton-Mohammed</w:t>
      </w:r>
    </w:p>
    <w:p w14:paraId="13F42EA5" w14:textId="3E18E0F1" w:rsidR="00AF5F65" w:rsidRDefault="00A360B8">
      <w:pPr>
        <w:spacing w:before="180" w:after="60"/>
      </w:pPr>
      <w:r>
        <w:rPr>
          <w:rFonts w:ascii="Arial" w:eastAsia="Arial" w:hAnsi="Arial" w:cs="Arial"/>
          <w:b/>
          <w:bCs/>
          <w:color w:val="000000"/>
        </w:rPr>
        <w:t>7. How We Are Distributed As A profession: Analysis of the National Downloadable File and U.S. Census Data</w:t>
      </w:r>
    </w:p>
    <w:p w14:paraId="19AE1CD3" w14:textId="2CE74352" w:rsidR="00AF5F65" w:rsidRDefault="00A360B8">
      <w:r>
        <w:rPr>
          <w:rFonts w:ascii="Arial" w:eastAsia="Arial" w:hAnsi="Arial" w:cs="Arial"/>
          <w:color w:val="000000"/>
          <w:sz w:val="18"/>
          <w:szCs w:val="18"/>
        </w:rPr>
        <w:t>Andrew Meyr, DPM</w:t>
      </w:r>
      <w:r>
        <w:rPr>
          <w:rFonts w:ascii="Arial" w:eastAsia="Arial" w:hAnsi="Arial" w:cs="Arial"/>
          <w:i/>
          <w:iCs/>
          <w:sz w:val="18"/>
          <w:szCs w:val="18"/>
        </w:rPr>
        <w:t>†</w:t>
      </w:r>
    </w:p>
    <w:p w14:paraId="47949CEC" w14:textId="77777777" w:rsidR="00AF5F65" w:rsidRDefault="00A360B8">
      <w:r>
        <w:rPr>
          <w:rFonts w:ascii="Arial" w:eastAsia="Arial" w:hAnsi="Arial" w:cs="Arial"/>
          <w:color w:val="444444"/>
          <w:sz w:val="18"/>
          <w:szCs w:val="18"/>
        </w:rPr>
        <w:t>Jessica Carrillo, DPM</w:t>
      </w:r>
    </w:p>
    <w:p w14:paraId="2B54F482" w14:textId="77777777" w:rsidR="00AF5F65" w:rsidRDefault="00A360B8">
      <w:r>
        <w:rPr>
          <w:rFonts w:ascii="Arial" w:eastAsia="Arial" w:hAnsi="Arial" w:cs="Arial"/>
          <w:color w:val="444444"/>
          <w:sz w:val="18"/>
          <w:szCs w:val="18"/>
        </w:rPr>
        <w:t>Daniel Ruggeiro, DPM</w:t>
      </w:r>
    </w:p>
    <w:p w14:paraId="7534F2D8" w14:textId="77777777" w:rsidR="00AF5F65" w:rsidRDefault="00A360B8">
      <w:r>
        <w:rPr>
          <w:rFonts w:ascii="Arial" w:eastAsia="Arial" w:hAnsi="Arial" w:cs="Arial"/>
          <w:color w:val="444444"/>
          <w:sz w:val="18"/>
          <w:szCs w:val="18"/>
        </w:rPr>
        <w:t>Daria Zucchi, DPM</w:t>
      </w:r>
    </w:p>
    <w:p w14:paraId="0B553D96" w14:textId="66E7C4B3" w:rsidR="00AF5F65" w:rsidRDefault="00A360B8">
      <w:pPr>
        <w:spacing w:before="180" w:after="60"/>
      </w:pPr>
      <w:r>
        <w:rPr>
          <w:rFonts w:ascii="Arial" w:eastAsia="Arial" w:hAnsi="Arial" w:cs="Arial"/>
          <w:b/>
          <w:bCs/>
          <w:color w:val="000000"/>
        </w:rPr>
        <w:t>8. Making an Effective Osteomyelitis Diagnosis</w:t>
      </w:r>
    </w:p>
    <w:p w14:paraId="6028535F" w14:textId="3F0E783B" w:rsidR="00AF5F65" w:rsidRDefault="00A360B8">
      <w:r>
        <w:rPr>
          <w:rFonts w:ascii="Arial" w:eastAsia="Arial" w:hAnsi="Arial" w:cs="Arial"/>
          <w:color w:val="000000"/>
          <w:sz w:val="18"/>
          <w:szCs w:val="18"/>
        </w:rPr>
        <w:t>Hau Pham, DPM</w:t>
      </w:r>
      <w:r>
        <w:rPr>
          <w:rFonts w:ascii="Arial" w:eastAsia="Arial" w:hAnsi="Arial" w:cs="Arial"/>
          <w:i/>
          <w:iCs/>
          <w:sz w:val="18"/>
          <w:szCs w:val="18"/>
        </w:rPr>
        <w:t>†</w:t>
      </w:r>
    </w:p>
    <w:p w14:paraId="06133FFA" w14:textId="77777777" w:rsidR="00AF5F65" w:rsidRDefault="00A360B8">
      <w:r>
        <w:rPr>
          <w:rFonts w:ascii="Arial" w:eastAsia="Arial" w:hAnsi="Arial" w:cs="Arial"/>
          <w:color w:val="444444"/>
          <w:sz w:val="18"/>
          <w:szCs w:val="18"/>
        </w:rPr>
        <w:t>Ashley Daniel, DPM</w:t>
      </w:r>
    </w:p>
    <w:p w14:paraId="2B8A12D8" w14:textId="77777777" w:rsidR="00AF5F65" w:rsidRDefault="00A360B8">
      <w:r>
        <w:rPr>
          <w:rFonts w:ascii="Arial" w:eastAsia="Arial" w:hAnsi="Arial" w:cs="Arial"/>
          <w:color w:val="444444"/>
          <w:sz w:val="18"/>
          <w:szCs w:val="18"/>
        </w:rPr>
        <w:t>Wei Tseng, DPM</w:t>
      </w:r>
    </w:p>
    <w:p w14:paraId="6B01A4B5" w14:textId="30F2D47A" w:rsidR="00AF5F65" w:rsidRDefault="00A360B8">
      <w:pPr>
        <w:spacing w:before="180" w:after="60"/>
      </w:pPr>
      <w:r>
        <w:rPr>
          <w:rFonts w:ascii="Arial" w:eastAsia="Arial" w:hAnsi="Arial" w:cs="Arial"/>
          <w:b/>
          <w:bCs/>
          <w:color w:val="000000"/>
        </w:rPr>
        <w:t>9. Opioid Prescription Practices Among Podiatrists: A Retrospective Analysis of Medicare Part D Data from 2013–2023</w:t>
      </w:r>
    </w:p>
    <w:p w14:paraId="3918B575" w14:textId="59296C80" w:rsidR="00AF5F65" w:rsidRDefault="00A360B8">
      <w:r>
        <w:rPr>
          <w:rFonts w:ascii="Arial" w:eastAsia="Arial" w:hAnsi="Arial" w:cs="Arial"/>
          <w:color w:val="000000"/>
          <w:sz w:val="18"/>
          <w:szCs w:val="18"/>
        </w:rPr>
        <w:t>James H. Whelan, DPM</w:t>
      </w:r>
      <w:r>
        <w:rPr>
          <w:rFonts w:ascii="Arial" w:eastAsia="Arial" w:hAnsi="Arial" w:cs="Arial"/>
          <w:i/>
          <w:iCs/>
          <w:sz w:val="18"/>
          <w:szCs w:val="18"/>
        </w:rPr>
        <w:t>†</w:t>
      </w:r>
    </w:p>
    <w:p w14:paraId="03F60D2B" w14:textId="2F2ACC14" w:rsidR="00AF5F65" w:rsidRDefault="00A360B8">
      <w:pPr>
        <w:spacing w:before="180" w:after="60"/>
      </w:pPr>
      <w:r>
        <w:rPr>
          <w:rFonts w:ascii="Arial" w:eastAsia="Arial" w:hAnsi="Arial" w:cs="Arial"/>
          <w:b/>
          <w:bCs/>
          <w:color w:val="000000"/>
        </w:rPr>
        <w:t>10. Podiatry Led Multidisciplinary Wound Clinic: Healing the Impossible</w:t>
      </w:r>
    </w:p>
    <w:p w14:paraId="1163DEED" w14:textId="20EC3536" w:rsidR="00AF5F65" w:rsidRDefault="00A360B8">
      <w:r>
        <w:rPr>
          <w:rFonts w:ascii="Arial" w:eastAsia="Arial" w:hAnsi="Arial" w:cs="Arial"/>
          <w:color w:val="000000"/>
          <w:sz w:val="18"/>
          <w:szCs w:val="18"/>
        </w:rPr>
        <w:t>Stephanie Behme, DPM</w:t>
      </w:r>
      <w:r>
        <w:rPr>
          <w:rFonts w:ascii="Arial" w:eastAsia="Arial" w:hAnsi="Arial" w:cs="Arial"/>
          <w:i/>
          <w:iCs/>
          <w:sz w:val="18"/>
          <w:szCs w:val="18"/>
        </w:rPr>
        <w:t>†</w:t>
      </w:r>
    </w:p>
    <w:p w14:paraId="3F6BD555" w14:textId="77777777" w:rsidR="00AF5F65" w:rsidRDefault="00A360B8">
      <w:r>
        <w:rPr>
          <w:rFonts w:ascii="Arial" w:eastAsia="Arial" w:hAnsi="Arial" w:cs="Arial"/>
          <w:color w:val="444444"/>
          <w:sz w:val="18"/>
          <w:szCs w:val="18"/>
        </w:rPr>
        <w:t>Dawn Allen</w:t>
      </w:r>
    </w:p>
    <w:p w14:paraId="26E3F04D" w14:textId="77777777" w:rsidR="00AF5F65" w:rsidRDefault="00A360B8">
      <w:r>
        <w:rPr>
          <w:rFonts w:ascii="Arial" w:eastAsia="Arial" w:hAnsi="Arial" w:cs="Arial"/>
          <w:color w:val="444444"/>
          <w:sz w:val="18"/>
          <w:szCs w:val="18"/>
        </w:rPr>
        <w:t>Jodie Briggs</w:t>
      </w:r>
    </w:p>
    <w:p w14:paraId="11868C52" w14:textId="77777777" w:rsidR="00AF5F65" w:rsidRDefault="00A360B8">
      <w:r>
        <w:rPr>
          <w:rFonts w:ascii="Arial" w:eastAsia="Arial" w:hAnsi="Arial" w:cs="Arial"/>
          <w:color w:val="444444"/>
          <w:sz w:val="18"/>
          <w:szCs w:val="18"/>
        </w:rPr>
        <w:t>Kimberly Eby</w:t>
      </w:r>
    </w:p>
    <w:p w14:paraId="71C1F12A" w14:textId="77777777" w:rsidR="00AF5F65" w:rsidRDefault="00A360B8">
      <w:r>
        <w:rPr>
          <w:rFonts w:ascii="Arial" w:eastAsia="Arial" w:hAnsi="Arial" w:cs="Arial"/>
          <w:color w:val="444444"/>
          <w:sz w:val="18"/>
          <w:szCs w:val="18"/>
        </w:rPr>
        <w:t>Brian M. Schmidt, DPM</w:t>
      </w:r>
    </w:p>
    <w:p w14:paraId="384DCE1F" w14:textId="0D2F4398" w:rsidR="00AF5F65" w:rsidRDefault="00A360B8">
      <w:r>
        <w:rPr>
          <w:rFonts w:ascii="Arial" w:eastAsia="Arial" w:hAnsi="Arial" w:cs="Arial"/>
          <w:color w:val="444444"/>
          <w:sz w:val="18"/>
          <w:szCs w:val="18"/>
        </w:rPr>
        <w:t>Crystal M. Holmes, DPM</w:t>
      </w:r>
    </w:p>
    <w:p w14:paraId="1BE94A77" w14:textId="77777777" w:rsidR="00AF5F65" w:rsidRDefault="00A360B8">
      <w:r>
        <w:rPr>
          <w:rFonts w:ascii="Arial" w:eastAsia="Arial" w:hAnsi="Arial" w:cs="Arial"/>
          <w:color w:val="444444"/>
          <w:sz w:val="18"/>
          <w:szCs w:val="18"/>
        </w:rPr>
        <w:t>Nimesh Patel, MD</w:t>
      </w:r>
    </w:p>
    <w:p w14:paraId="5FDA6A7B" w14:textId="77777777" w:rsidR="00AF5F65" w:rsidRDefault="00A360B8">
      <w:r>
        <w:rPr>
          <w:rFonts w:ascii="Arial" w:eastAsia="Arial" w:hAnsi="Arial" w:cs="Arial"/>
          <w:color w:val="444444"/>
          <w:sz w:val="18"/>
          <w:szCs w:val="18"/>
        </w:rPr>
        <w:t>Shiwei Zhou, MD</w:t>
      </w:r>
    </w:p>
    <w:p w14:paraId="5933D3D0" w14:textId="144A2144" w:rsidR="00AF5F65" w:rsidRDefault="00A360B8">
      <w:pPr>
        <w:spacing w:before="180" w:after="60"/>
      </w:pPr>
      <w:r>
        <w:rPr>
          <w:rFonts w:ascii="Arial" w:eastAsia="Arial" w:hAnsi="Arial" w:cs="Arial"/>
          <w:b/>
          <w:bCs/>
          <w:color w:val="000000"/>
        </w:rPr>
        <w:t>11. Prescriber and Supplier Challenges in Diabetic Shoes &amp; Inserts: A Mixed-Methods Evaluation</w:t>
      </w:r>
    </w:p>
    <w:p w14:paraId="3451B851" w14:textId="7F83C8EB" w:rsidR="00AF5F65" w:rsidRDefault="00A360B8">
      <w:r>
        <w:rPr>
          <w:rFonts w:ascii="Arial" w:eastAsia="Arial" w:hAnsi="Arial" w:cs="Arial"/>
          <w:color w:val="000000"/>
          <w:sz w:val="18"/>
          <w:szCs w:val="18"/>
        </w:rPr>
        <w:t>Jon-Avery Welch</w:t>
      </w:r>
      <w:r>
        <w:rPr>
          <w:rFonts w:ascii="Arial" w:eastAsia="Arial" w:hAnsi="Arial" w:cs="Arial"/>
          <w:i/>
          <w:iCs/>
          <w:sz w:val="18"/>
          <w:szCs w:val="18"/>
        </w:rPr>
        <w:t>‡</w:t>
      </w:r>
    </w:p>
    <w:p w14:paraId="3E18C887" w14:textId="77777777" w:rsidR="00AF5F65" w:rsidRDefault="00A360B8">
      <w:r>
        <w:rPr>
          <w:rFonts w:ascii="Arial" w:eastAsia="Arial" w:hAnsi="Arial" w:cs="Arial"/>
          <w:color w:val="444444"/>
          <w:sz w:val="18"/>
          <w:szCs w:val="18"/>
        </w:rPr>
        <w:t>Emma Borowicz</w:t>
      </w:r>
    </w:p>
    <w:p w14:paraId="57D1B95C" w14:textId="77777777" w:rsidR="00AF5F65" w:rsidRDefault="00A360B8">
      <w:r>
        <w:rPr>
          <w:rFonts w:ascii="Arial" w:eastAsia="Arial" w:hAnsi="Arial" w:cs="Arial"/>
          <w:color w:val="444444"/>
          <w:sz w:val="18"/>
          <w:szCs w:val="18"/>
        </w:rPr>
        <w:t>Brandon M. Brooks, DPM, MPH</w:t>
      </w:r>
    </w:p>
    <w:p w14:paraId="23C0E1DB" w14:textId="77777777" w:rsidR="00AF5F65" w:rsidRDefault="00A360B8">
      <w:r>
        <w:rPr>
          <w:rFonts w:ascii="Arial" w:eastAsia="Arial" w:hAnsi="Arial" w:cs="Arial"/>
          <w:color w:val="444444"/>
          <w:sz w:val="18"/>
          <w:szCs w:val="18"/>
        </w:rPr>
        <w:t>Amanda L. Killeen, DPM</w:t>
      </w:r>
    </w:p>
    <w:p w14:paraId="39A54375" w14:textId="77777777" w:rsidR="00AF5F65" w:rsidRDefault="00A360B8">
      <w:r>
        <w:rPr>
          <w:rFonts w:ascii="Arial" w:eastAsia="Arial" w:hAnsi="Arial" w:cs="Arial"/>
          <w:color w:val="444444"/>
          <w:sz w:val="18"/>
          <w:szCs w:val="18"/>
        </w:rPr>
        <w:t>Amandi Rhett</w:t>
      </w:r>
    </w:p>
    <w:p w14:paraId="1419C27D" w14:textId="4D37BA5F" w:rsidR="00AF5F65" w:rsidRDefault="00A360B8">
      <w:pPr>
        <w:spacing w:before="180" w:after="60"/>
      </w:pPr>
      <w:r>
        <w:rPr>
          <w:rFonts w:ascii="Arial" w:eastAsia="Arial" w:hAnsi="Arial" w:cs="Arial"/>
          <w:b/>
          <w:bCs/>
          <w:color w:val="000000"/>
        </w:rPr>
        <w:t>12. Relative Durability and Gender Variations Associated with the DPM degree: Analysis of the CMS National Downloadable File</w:t>
      </w:r>
    </w:p>
    <w:p w14:paraId="3B46E6DD" w14:textId="3A27DADC" w:rsidR="00AF5F65" w:rsidRDefault="00A360B8">
      <w:r>
        <w:rPr>
          <w:rFonts w:ascii="Arial" w:eastAsia="Arial" w:hAnsi="Arial" w:cs="Arial"/>
          <w:color w:val="000000"/>
          <w:sz w:val="18"/>
          <w:szCs w:val="18"/>
        </w:rPr>
        <w:t>Andrew Meyr, DPM</w:t>
      </w:r>
      <w:r>
        <w:rPr>
          <w:rFonts w:ascii="Arial" w:eastAsia="Arial" w:hAnsi="Arial" w:cs="Arial"/>
          <w:i/>
          <w:iCs/>
          <w:sz w:val="18"/>
          <w:szCs w:val="18"/>
        </w:rPr>
        <w:t>†</w:t>
      </w:r>
    </w:p>
    <w:p w14:paraId="2A1381A1" w14:textId="77777777" w:rsidR="00AF5F65" w:rsidRDefault="00A360B8">
      <w:r>
        <w:rPr>
          <w:rFonts w:ascii="Arial" w:eastAsia="Arial" w:hAnsi="Arial" w:cs="Arial"/>
          <w:color w:val="444444"/>
          <w:sz w:val="18"/>
          <w:szCs w:val="18"/>
        </w:rPr>
        <w:t>Jeneen Elagha, DPM</w:t>
      </w:r>
    </w:p>
    <w:p w14:paraId="4960D30E" w14:textId="2B870395" w:rsidR="00AF5F65" w:rsidRDefault="00A360B8">
      <w:r>
        <w:rPr>
          <w:rFonts w:ascii="Arial" w:eastAsia="Arial" w:hAnsi="Arial" w:cs="Arial"/>
          <w:color w:val="444444"/>
          <w:sz w:val="18"/>
          <w:szCs w:val="18"/>
        </w:rPr>
        <w:t>Moraith G. North</w:t>
      </w:r>
    </w:p>
    <w:p w14:paraId="228DAA90" w14:textId="4C509E52" w:rsidR="00AF5F65" w:rsidRDefault="00A360B8">
      <w:pPr>
        <w:spacing w:before="180" w:after="60"/>
      </w:pPr>
      <w:r>
        <w:rPr>
          <w:rFonts w:ascii="Arial" w:eastAsia="Arial" w:hAnsi="Arial" w:cs="Arial"/>
          <w:b/>
          <w:bCs/>
          <w:color w:val="000000"/>
        </w:rPr>
        <w:t>13. Ultrasound‑Guided TenJet Hydroresection for Chronic Achilles Tendinopathy: A Retrospective Case Series</w:t>
      </w:r>
    </w:p>
    <w:p w14:paraId="2FD50E0F" w14:textId="097D90BC" w:rsidR="00AF5F65" w:rsidRDefault="00A360B8">
      <w:r>
        <w:rPr>
          <w:rFonts w:ascii="Arial" w:eastAsia="Arial" w:hAnsi="Arial" w:cs="Arial"/>
          <w:color w:val="000000"/>
          <w:sz w:val="18"/>
          <w:szCs w:val="18"/>
        </w:rPr>
        <w:t>Anthony DiLeo, DPM</w:t>
      </w:r>
      <w:r>
        <w:rPr>
          <w:rFonts w:ascii="Arial" w:eastAsia="Arial" w:hAnsi="Arial" w:cs="Arial"/>
          <w:i/>
          <w:iCs/>
          <w:sz w:val="18"/>
          <w:szCs w:val="18"/>
        </w:rPr>
        <w:t>†</w:t>
      </w:r>
    </w:p>
    <w:p w14:paraId="1B8934B0" w14:textId="424B6EF5" w:rsidR="00AF5F65" w:rsidRDefault="00A360B8">
      <w:r>
        <w:rPr>
          <w:rFonts w:ascii="Arial" w:eastAsia="Arial" w:hAnsi="Arial" w:cs="Arial"/>
          <w:color w:val="444444"/>
          <w:sz w:val="18"/>
          <w:szCs w:val="18"/>
        </w:rPr>
        <w:t>Alec J. Dierksheide, DPM</w:t>
      </w:r>
    </w:p>
    <w:p w14:paraId="79B6F23D" w14:textId="77777777" w:rsidR="00AF5F65" w:rsidRDefault="00A360B8">
      <w:r>
        <w:rPr>
          <w:rFonts w:ascii="Arial" w:eastAsia="Arial" w:hAnsi="Arial" w:cs="Arial"/>
          <w:color w:val="444444"/>
          <w:sz w:val="18"/>
          <w:szCs w:val="18"/>
        </w:rPr>
        <w:t>Brandon Kitchens, DPM</w:t>
      </w:r>
    </w:p>
    <w:p w14:paraId="7A78181A" w14:textId="77777777" w:rsidR="00AF5F65" w:rsidRDefault="00A360B8">
      <w:r>
        <w:rPr>
          <w:rFonts w:ascii="Arial" w:eastAsia="Arial" w:hAnsi="Arial" w:cs="Arial"/>
          <w:color w:val="444444"/>
          <w:sz w:val="18"/>
          <w:szCs w:val="18"/>
        </w:rPr>
        <w:t>Mark Mendeszoon, DPM</w:t>
      </w:r>
    </w:p>
    <w:p w14:paraId="6C4186B8" w14:textId="7230310B" w:rsidR="00AF5F65" w:rsidRDefault="00A360B8">
      <w:pPr>
        <w:spacing w:before="180" w:after="60"/>
      </w:pPr>
      <w:r>
        <w:rPr>
          <w:rFonts w:ascii="Arial" w:eastAsia="Arial" w:hAnsi="Arial" w:cs="Arial"/>
          <w:b/>
          <w:bCs/>
          <w:color w:val="000000"/>
        </w:rPr>
        <w:t>14. Where We Are As A Profession: Analysis of the CMS National Downloadable File</w:t>
      </w:r>
    </w:p>
    <w:p w14:paraId="28DA22A0" w14:textId="0E6FC131" w:rsidR="00AF5F65" w:rsidRDefault="00A360B8">
      <w:r>
        <w:rPr>
          <w:rFonts w:ascii="Arial" w:eastAsia="Arial" w:hAnsi="Arial" w:cs="Arial"/>
          <w:color w:val="000000"/>
          <w:sz w:val="18"/>
          <w:szCs w:val="18"/>
        </w:rPr>
        <w:t>Andrew Meyr, DPM</w:t>
      </w:r>
      <w:r>
        <w:rPr>
          <w:rFonts w:ascii="Arial" w:eastAsia="Arial" w:hAnsi="Arial" w:cs="Arial"/>
          <w:i/>
          <w:iCs/>
          <w:sz w:val="18"/>
          <w:szCs w:val="18"/>
        </w:rPr>
        <w:t>†</w:t>
      </w:r>
    </w:p>
    <w:p w14:paraId="536F2F9D" w14:textId="77777777" w:rsidR="00AF5F65" w:rsidRDefault="00A360B8">
      <w:r>
        <w:rPr>
          <w:rFonts w:ascii="Arial" w:eastAsia="Arial" w:hAnsi="Arial" w:cs="Arial"/>
          <w:color w:val="444444"/>
          <w:sz w:val="18"/>
          <w:szCs w:val="18"/>
        </w:rPr>
        <w:t>Kavya Ajbani, DPM</w:t>
      </w:r>
    </w:p>
    <w:p w14:paraId="6B826B8E" w14:textId="77777777" w:rsidR="00AF5F65" w:rsidRDefault="00A360B8">
      <w:r>
        <w:rPr>
          <w:rFonts w:ascii="Arial" w:eastAsia="Arial" w:hAnsi="Arial" w:cs="Arial"/>
          <w:color w:val="444444"/>
          <w:sz w:val="18"/>
          <w:szCs w:val="18"/>
        </w:rPr>
        <w:t>Courtney Chandler Dorliea, DPM</w:t>
      </w:r>
    </w:p>
    <w:p w14:paraId="05651868" w14:textId="77777777" w:rsidR="00AF5F65" w:rsidRDefault="00A360B8">
      <w:r>
        <w:rPr>
          <w:rFonts w:ascii="Arial" w:eastAsia="Arial" w:hAnsi="Arial" w:cs="Arial"/>
          <w:color w:val="444444"/>
          <w:sz w:val="18"/>
          <w:szCs w:val="18"/>
        </w:rPr>
        <w:t>Jeneen Elagha, DPM</w:t>
      </w:r>
    </w:p>
    <w:p w14:paraId="1265FDF7" w14:textId="6E7F62EB" w:rsidR="00AF5F65" w:rsidRDefault="008A6751">
      <w:pPr>
        <w:spacing w:before="180" w:after="60"/>
      </w:pPr>
      <w:r>
        <w:rPr>
          <w:rFonts w:ascii="Arial" w:eastAsia="Arial" w:hAnsi="Arial" w:cs="Arial"/>
          <w:b/>
          <w:bCs/>
          <w:color w:val="000000"/>
        </w:rPr>
        <w:t>15. Who We Are As A Specialty: Analysis of the CMS National Downloadable File</w:t>
      </w:r>
    </w:p>
    <w:p w14:paraId="6DCC9856" w14:textId="3126279B" w:rsidR="00AF5F65" w:rsidRDefault="00A360B8">
      <w:r>
        <w:rPr>
          <w:rFonts w:ascii="Arial" w:eastAsia="Arial" w:hAnsi="Arial" w:cs="Arial"/>
          <w:color w:val="000000"/>
          <w:sz w:val="18"/>
          <w:szCs w:val="18"/>
        </w:rPr>
        <w:lastRenderedPageBreak/>
        <w:t>Andrew Meyr, DPM</w:t>
      </w:r>
      <w:r>
        <w:rPr>
          <w:rFonts w:ascii="Arial" w:eastAsia="Arial" w:hAnsi="Arial" w:cs="Arial"/>
          <w:i/>
          <w:iCs/>
          <w:sz w:val="18"/>
          <w:szCs w:val="18"/>
        </w:rPr>
        <w:t>†</w:t>
      </w:r>
    </w:p>
    <w:p w14:paraId="5CFD1081" w14:textId="77777777" w:rsidR="00AF5F65" w:rsidRDefault="00A360B8">
      <w:r>
        <w:rPr>
          <w:rFonts w:ascii="Arial" w:eastAsia="Arial" w:hAnsi="Arial" w:cs="Arial"/>
          <w:color w:val="444444"/>
          <w:sz w:val="18"/>
          <w:szCs w:val="18"/>
        </w:rPr>
        <w:t>Kavya Ajbani, DPM</w:t>
      </w:r>
    </w:p>
    <w:p w14:paraId="736F090A" w14:textId="77777777" w:rsidR="00AF5F65" w:rsidRDefault="00A360B8">
      <w:r>
        <w:rPr>
          <w:rFonts w:ascii="Arial" w:eastAsia="Arial" w:hAnsi="Arial" w:cs="Arial"/>
          <w:color w:val="444444"/>
          <w:sz w:val="18"/>
          <w:szCs w:val="18"/>
        </w:rPr>
        <w:t>Courtney Chandler Dorliea, DPM</w:t>
      </w:r>
    </w:p>
    <w:p w14:paraId="05BABF38" w14:textId="77777777" w:rsidR="00AF5F65" w:rsidRDefault="00A360B8">
      <w:r>
        <w:rPr>
          <w:rFonts w:ascii="Arial" w:eastAsia="Arial" w:hAnsi="Arial" w:cs="Arial"/>
          <w:color w:val="444444"/>
          <w:sz w:val="18"/>
          <w:szCs w:val="18"/>
        </w:rPr>
        <w:t>Jeneen Elagha, DPM</w:t>
      </w:r>
    </w:p>
    <w:p w14:paraId="6846811D" w14:textId="77777777" w:rsidR="00AF5F65" w:rsidRPr="001F0AFE" w:rsidRDefault="00A360B8">
      <w:pPr>
        <w:pBdr>
          <w:bottom w:val="single" w:sz="8" w:space="4" w:color="2E75B6"/>
        </w:pBdr>
        <w:spacing w:before="280" w:after="100"/>
      </w:pPr>
      <w:r>
        <w:rPr>
          <w:rFonts w:ascii="Arial" w:eastAsia="Arial" w:hAnsi="Arial" w:cs="Arial"/>
          <w:b/>
          <w:bCs/>
          <w:sz w:val="26"/>
          <w:szCs w:val="26"/>
        </w:rPr>
        <w:t>Resident</w:t>
      </w:r>
    </w:p>
    <w:p w14:paraId="73D41118" w14:textId="645907C5" w:rsidR="00AF5F65" w:rsidRDefault="00A360B8">
      <w:pPr>
        <w:spacing w:before="180" w:after="60"/>
      </w:pPr>
      <w:r>
        <w:rPr>
          <w:rFonts w:ascii="Arial" w:eastAsia="Arial" w:hAnsi="Arial" w:cs="Arial"/>
          <w:b/>
          <w:bCs/>
          <w:color w:val="000000"/>
        </w:rPr>
        <w:t>16. ABC’s of Wound Healing: Antibiotic Bone Cement for Recalcitrant Wounds</w:t>
      </w:r>
    </w:p>
    <w:p w14:paraId="29A0C493" w14:textId="7548DB17" w:rsidR="00AF5F65" w:rsidRDefault="00A360B8">
      <w:r>
        <w:rPr>
          <w:rFonts w:ascii="Arial" w:eastAsia="Arial" w:hAnsi="Arial" w:cs="Arial"/>
          <w:color w:val="000000"/>
          <w:sz w:val="18"/>
          <w:szCs w:val="18"/>
        </w:rPr>
        <w:t>Scott Chanthongthip, DPM</w:t>
      </w:r>
      <w:r>
        <w:rPr>
          <w:rFonts w:ascii="Arial" w:eastAsia="Arial" w:hAnsi="Arial" w:cs="Arial"/>
          <w:i/>
          <w:iCs/>
          <w:sz w:val="18"/>
          <w:szCs w:val="18"/>
        </w:rPr>
        <w:t>‡</w:t>
      </w:r>
    </w:p>
    <w:p w14:paraId="17A202D0" w14:textId="77777777" w:rsidR="00AF5F65" w:rsidRDefault="00A360B8">
      <w:r>
        <w:rPr>
          <w:rFonts w:ascii="Arial" w:eastAsia="Arial" w:hAnsi="Arial" w:cs="Arial"/>
          <w:color w:val="444444"/>
          <w:sz w:val="18"/>
          <w:szCs w:val="18"/>
        </w:rPr>
        <w:t>Robert Stuke, DPM</w:t>
      </w:r>
    </w:p>
    <w:p w14:paraId="3D529D03" w14:textId="2CC5959F" w:rsidR="00AF5F65" w:rsidRDefault="00A360B8">
      <w:pPr>
        <w:spacing w:before="180" w:after="60"/>
      </w:pPr>
      <w:r>
        <w:rPr>
          <w:rFonts w:ascii="Arial" w:eastAsia="Arial" w:hAnsi="Arial" w:cs="Arial"/>
          <w:b/>
          <w:bCs/>
          <w:color w:val="000000"/>
        </w:rPr>
        <w:t>17. Analysis of Gender Diversity within Podiatric Surgery Fellowship Programs</w:t>
      </w:r>
    </w:p>
    <w:p w14:paraId="255E3F74" w14:textId="0709ECCE" w:rsidR="00AF5F65" w:rsidRDefault="00A360B8">
      <w:r>
        <w:rPr>
          <w:rFonts w:ascii="Arial" w:eastAsia="Arial" w:hAnsi="Arial" w:cs="Arial"/>
          <w:color w:val="000000"/>
          <w:sz w:val="18"/>
          <w:szCs w:val="18"/>
        </w:rPr>
        <w:t>Isabella North, DPM</w:t>
      </w:r>
      <w:r>
        <w:rPr>
          <w:rFonts w:ascii="Arial" w:eastAsia="Arial" w:hAnsi="Arial" w:cs="Arial"/>
          <w:i/>
          <w:iCs/>
          <w:sz w:val="18"/>
          <w:szCs w:val="18"/>
        </w:rPr>
        <w:t>‡</w:t>
      </w:r>
    </w:p>
    <w:p w14:paraId="2BB503EF" w14:textId="77777777" w:rsidR="00AF5F65" w:rsidRDefault="00A360B8">
      <w:r>
        <w:rPr>
          <w:rFonts w:ascii="Arial" w:eastAsia="Arial" w:hAnsi="Arial" w:cs="Arial"/>
          <w:color w:val="444444"/>
          <w:sz w:val="18"/>
          <w:szCs w:val="18"/>
        </w:rPr>
        <w:t>Katherine Dux, DPM</w:t>
      </w:r>
    </w:p>
    <w:p w14:paraId="5A64A38A" w14:textId="77777777" w:rsidR="00AF5F65" w:rsidRDefault="00A360B8">
      <w:r>
        <w:rPr>
          <w:rFonts w:ascii="Arial" w:eastAsia="Arial" w:hAnsi="Arial" w:cs="Arial"/>
          <w:color w:val="444444"/>
          <w:sz w:val="18"/>
          <w:szCs w:val="18"/>
        </w:rPr>
        <w:t>Bryn Laubacher, DPM</w:t>
      </w:r>
    </w:p>
    <w:p w14:paraId="61E2DC6B" w14:textId="77777777" w:rsidR="00AF5F65" w:rsidRDefault="00A360B8">
      <w:r>
        <w:rPr>
          <w:rFonts w:ascii="Arial" w:eastAsia="Arial" w:hAnsi="Arial" w:cs="Arial"/>
          <w:color w:val="444444"/>
          <w:sz w:val="18"/>
          <w:szCs w:val="18"/>
        </w:rPr>
        <w:t>Christina Staskiewicz, DPM</w:t>
      </w:r>
    </w:p>
    <w:p w14:paraId="572ED54D" w14:textId="6801061B" w:rsidR="00AF5F65" w:rsidRDefault="00A360B8">
      <w:pPr>
        <w:spacing w:before="180" w:after="60"/>
      </w:pPr>
      <w:r>
        <w:rPr>
          <w:rFonts w:ascii="Arial" w:eastAsia="Arial" w:hAnsi="Arial" w:cs="Arial"/>
          <w:b/>
          <w:bCs/>
          <w:color w:val="000000"/>
        </w:rPr>
        <w:t>18. Angiomatoid Fibrous Histiocytoma of the Forefoot: A Rare Case Report</w:t>
      </w:r>
    </w:p>
    <w:p w14:paraId="3AB9E269" w14:textId="22CE6099" w:rsidR="00AF5F65" w:rsidRDefault="00A360B8">
      <w:r>
        <w:rPr>
          <w:rFonts w:ascii="Arial" w:eastAsia="Arial" w:hAnsi="Arial" w:cs="Arial"/>
          <w:color w:val="000000"/>
          <w:sz w:val="18"/>
          <w:szCs w:val="18"/>
        </w:rPr>
        <w:t>Sana Siddiqui, DPM, MS</w:t>
      </w:r>
      <w:r>
        <w:rPr>
          <w:rFonts w:ascii="Arial" w:eastAsia="Arial" w:hAnsi="Arial" w:cs="Arial"/>
          <w:i/>
          <w:iCs/>
          <w:sz w:val="18"/>
          <w:szCs w:val="18"/>
        </w:rPr>
        <w:t>‡</w:t>
      </w:r>
    </w:p>
    <w:p w14:paraId="25D30700" w14:textId="77777777" w:rsidR="00AF5F65" w:rsidRDefault="00A360B8">
      <w:r>
        <w:rPr>
          <w:rFonts w:ascii="Arial" w:eastAsia="Arial" w:hAnsi="Arial" w:cs="Arial"/>
          <w:color w:val="444444"/>
          <w:sz w:val="18"/>
          <w:szCs w:val="18"/>
        </w:rPr>
        <w:t>Ellianne M Nasser, DPM</w:t>
      </w:r>
    </w:p>
    <w:p w14:paraId="2BC053C2" w14:textId="44F24524" w:rsidR="00AF5F65" w:rsidRDefault="00A360B8">
      <w:pPr>
        <w:spacing w:before="180" w:after="60"/>
      </w:pPr>
      <w:r>
        <w:rPr>
          <w:rFonts w:ascii="Arial" w:eastAsia="Arial" w:hAnsi="Arial" w:cs="Arial"/>
          <w:b/>
          <w:bCs/>
          <w:color w:val="000000"/>
        </w:rPr>
        <w:t>19. Basal Cell Carcinoma Presenting as a Chronic Non-Healing Posterior Medial Heel Ulcer: A Case Report</w:t>
      </w:r>
    </w:p>
    <w:p w14:paraId="0C59FB44" w14:textId="625C852D" w:rsidR="00AF5F65" w:rsidRDefault="00A360B8">
      <w:r>
        <w:rPr>
          <w:rFonts w:ascii="Arial" w:eastAsia="Arial" w:hAnsi="Arial" w:cs="Arial"/>
          <w:color w:val="000000"/>
          <w:sz w:val="18"/>
          <w:szCs w:val="18"/>
        </w:rPr>
        <w:t>Roshni Patel, DPM</w:t>
      </w:r>
      <w:r>
        <w:rPr>
          <w:rFonts w:ascii="Arial" w:eastAsia="Arial" w:hAnsi="Arial" w:cs="Arial"/>
          <w:i/>
          <w:iCs/>
          <w:sz w:val="18"/>
          <w:szCs w:val="18"/>
        </w:rPr>
        <w:t>‡</w:t>
      </w:r>
    </w:p>
    <w:p w14:paraId="7309259C" w14:textId="77777777" w:rsidR="00AF5F65" w:rsidRDefault="00A360B8">
      <w:r>
        <w:rPr>
          <w:rFonts w:ascii="Arial" w:eastAsia="Arial" w:hAnsi="Arial" w:cs="Arial"/>
          <w:color w:val="444444"/>
          <w:sz w:val="18"/>
          <w:szCs w:val="18"/>
        </w:rPr>
        <w:t>Robert Sage, DPM</w:t>
      </w:r>
    </w:p>
    <w:p w14:paraId="40F4BD92" w14:textId="23483B72" w:rsidR="00AF5F65" w:rsidRDefault="00A360B8">
      <w:pPr>
        <w:spacing w:before="180" w:after="60"/>
      </w:pPr>
      <w:r>
        <w:rPr>
          <w:rFonts w:ascii="Arial" w:eastAsia="Arial" w:hAnsi="Arial" w:cs="Arial"/>
          <w:b/>
          <w:bCs/>
          <w:color w:val="000000"/>
        </w:rPr>
        <w:t>20. Curattage with Antibiotic Bone Cement for Calcaneal Osteomyeletis</w:t>
      </w:r>
    </w:p>
    <w:p w14:paraId="08195319" w14:textId="126E0703" w:rsidR="00AF5F65" w:rsidRDefault="00A360B8">
      <w:r>
        <w:rPr>
          <w:rFonts w:ascii="Arial" w:eastAsia="Arial" w:hAnsi="Arial" w:cs="Arial"/>
          <w:color w:val="000000"/>
          <w:sz w:val="18"/>
          <w:szCs w:val="18"/>
        </w:rPr>
        <w:t>Aaliyah Shields, DPM</w:t>
      </w:r>
      <w:r>
        <w:rPr>
          <w:rFonts w:ascii="Arial" w:eastAsia="Arial" w:hAnsi="Arial" w:cs="Arial"/>
          <w:i/>
          <w:iCs/>
          <w:sz w:val="18"/>
          <w:szCs w:val="18"/>
        </w:rPr>
        <w:t>‡</w:t>
      </w:r>
    </w:p>
    <w:p w14:paraId="4E959D61" w14:textId="77777777" w:rsidR="00AF5F65" w:rsidRDefault="00A360B8">
      <w:r>
        <w:rPr>
          <w:rFonts w:ascii="Arial" w:eastAsia="Arial" w:hAnsi="Arial" w:cs="Arial"/>
          <w:color w:val="444444"/>
          <w:sz w:val="18"/>
          <w:szCs w:val="18"/>
        </w:rPr>
        <w:t>Jackson Towers, DPM</w:t>
      </w:r>
    </w:p>
    <w:p w14:paraId="5CC36E06" w14:textId="0AC3516F" w:rsidR="00AF5F65" w:rsidRDefault="00A360B8">
      <w:pPr>
        <w:spacing w:before="180" w:after="60"/>
      </w:pPr>
      <w:r>
        <w:rPr>
          <w:rFonts w:ascii="Arial" w:eastAsia="Arial" w:hAnsi="Arial" w:cs="Arial"/>
          <w:b/>
          <w:bCs/>
          <w:color w:val="000000"/>
        </w:rPr>
        <w:t>21. Erythema Induratum (Nodular Vasculitis) of the Lower Extremities Without Tuberculosis in Psoriasis on Secukinumab (Interleukin 17A Inhibition): A Case Report</w:t>
      </w:r>
    </w:p>
    <w:p w14:paraId="2C21EDBC" w14:textId="40279430" w:rsidR="00AF5F65" w:rsidRDefault="00A360B8">
      <w:pPr>
        <w:rPr>
          <w:rFonts w:ascii="Arial" w:eastAsia="Arial" w:hAnsi="Arial" w:cs="Arial"/>
          <w:i/>
          <w:iCs/>
          <w:sz w:val="18"/>
          <w:szCs w:val="18"/>
        </w:rPr>
      </w:pPr>
      <w:r>
        <w:rPr>
          <w:rFonts w:ascii="Arial" w:eastAsia="Arial" w:hAnsi="Arial" w:cs="Arial"/>
          <w:color w:val="444444"/>
          <w:sz w:val="18"/>
          <w:szCs w:val="18"/>
        </w:rPr>
        <w:t>Sarah H Hassan, DPM</w:t>
      </w:r>
      <w:r>
        <w:rPr>
          <w:rFonts w:ascii="Arial" w:eastAsia="Arial" w:hAnsi="Arial" w:cs="Arial"/>
          <w:i/>
          <w:iCs/>
          <w:sz w:val="18"/>
          <w:szCs w:val="18"/>
        </w:rPr>
        <w:t>‡</w:t>
      </w:r>
    </w:p>
    <w:p w14:paraId="1AD4C9C8" w14:textId="704DCAE8" w:rsidR="00F03722" w:rsidRDefault="00F03722">
      <w:r>
        <w:rPr>
          <w:rFonts w:ascii="Arial" w:eastAsia="Arial" w:hAnsi="Arial" w:cs="Arial"/>
          <w:color w:val="000000"/>
          <w:sz w:val="18"/>
          <w:szCs w:val="18"/>
        </w:rPr>
        <w:t>Moamen Elhaddad, MD</w:t>
      </w:r>
    </w:p>
    <w:p w14:paraId="2CAA1D44" w14:textId="5A61FB08" w:rsidR="00AF5F65" w:rsidRDefault="00A360B8">
      <w:pPr>
        <w:spacing w:before="180" w:after="60"/>
      </w:pPr>
      <w:r>
        <w:rPr>
          <w:rFonts w:ascii="Arial" w:eastAsia="Arial" w:hAnsi="Arial" w:cs="Arial"/>
          <w:b/>
          <w:bCs/>
          <w:color w:val="000000"/>
        </w:rPr>
        <w:t>22. Evaluating the Clinical Impact of a Hospitalist Podiatry Model: A Retrospective Cohort Study</w:t>
      </w:r>
    </w:p>
    <w:p w14:paraId="1531769F" w14:textId="74FACD14" w:rsidR="00AF5F65" w:rsidRDefault="00A360B8">
      <w:r>
        <w:rPr>
          <w:rFonts w:ascii="Arial" w:eastAsia="Arial" w:hAnsi="Arial" w:cs="Arial"/>
          <w:color w:val="000000"/>
          <w:sz w:val="18"/>
          <w:szCs w:val="18"/>
        </w:rPr>
        <w:t>Tina Javanbakht, DPM, MPH</w:t>
      </w:r>
      <w:r>
        <w:rPr>
          <w:rFonts w:ascii="Arial" w:eastAsia="Arial" w:hAnsi="Arial" w:cs="Arial"/>
          <w:i/>
          <w:iCs/>
          <w:sz w:val="18"/>
          <w:szCs w:val="18"/>
        </w:rPr>
        <w:t>‡</w:t>
      </w:r>
    </w:p>
    <w:p w14:paraId="25A07F17" w14:textId="77777777" w:rsidR="00AF5F65" w:rsidRDefault="00A360B8">
      <w:r>
        <w:rPr>
          <w:rFonts w:ascii="Arial" w:eastAsia="Arial" w:hAnsi="Arial" w:cs="Arial"/>
          <w:color w:val="444444"/>
          <w:sz w:val="18"/>
          <w:szCs w:val="18"/>
        </w:rPr>
        <w:t>Aakansha Jain, DPM</w:t>
      </w:r>
    </w:p>
    <w:p w14:paraId="21E9C70D" w14:textId="22C91E94" w:rsidR="00AF5F65" w:rsidRDefault="00A360B8">
      <w:pPr>
        <w:spacing w:before="180" w:after="60"/>
      </w:pPr>
      <w:r>
        <w:rPr>
          <w:rFonts w:ascii="Arial" w:eastAsia="Arial" w:hAnsi="Arial" w:cs="Arial"/>
          <w:b/>
          <w:bCs/>
          <w:color w:val="000000"/>
        </w:rPr>
        <w:t>23. Iatrogenic Charcot Event of the First Metatarsal Head in a Non-Diabetic Patient</w:t>
      </w:r>
    </w:p>
    <w:p w14:paraId="2085F3C0" w14:textId="57477A09" w:rsidR="00AF5F65" w:rsidRDefault="00A360B8">
      <w:r>
        <w:rPr>
          <w:rFonts w:ascii="Arial" w:eastAsia="Arial" w:hAnsi="Arial" w:cs="Arial"/>
          <w:color w:val="000000"/>
          <w:sz w:val="18"/>
          <w:szCs w:val="18"/>
        </w:rPr>
        <w:t>Sai Meghana Suresh Kumar, DPM</w:t>
      </w:r>
      <w:r>
        <w:rPr>
          <w:rFonts w:ascii="Arial" w:eastAsia="Arial" w:hAnsi="Arial" w:cs="Arial"/>
          <w:i/>
          <w:iCs/>
          <w:sz w:val="18"/>
          <w:szCs w:val="18"/>
        </w:rPr>
        <w:t>‡</w:t>
      </w:r>
    </w:p>
    <w:p w14:paraId="4DE4BECD" w14:textId="77777777" w:rsidR="00AF5F65" w:rsidRDefault="00A360B8">
      <w:r>
        <w:rPr>
          <w:rFonts w:ascii="Arial" w:eastAsia="Arial" w:hAnsi="Arial" w:cs="Arial"/>
          <w:color w:val="444444"/>
          <w:sz w:val="18"/>
          <w:szCs w:val="18"/>
        </w:rPr>
        <w:t>Jaclyn Wessinger, DPM</w:t>
      </w:r>
    </w:p>
    <w:p w14:paraId="5B78A533" w14:textId="420CC580" w:rsidR="00AF5F65" w:rsidRDefault="00A360B8">
      <w:pPr>
        <w:spacing w:before="180" w:after="60"/>
      </w:pPr>
      <w:r>
        <w:rPr>
          <w:rFonts w:ascii="Arial" w:eastAsia="Arial" w:hAnsi="Arial" w:cs="Arial"/>
          <w:b/>
          <w:bCs/>
          <w:color w:val="000000"/>
        </w:rPr>
        <w:t>24. The Impact of Elevated A1c on Post-Operative Infection Complications: A Systematic Review</w:t>
      </w:r>
    </w:p>
    <w:p w14:paraId="3E66707E" w14:textId="6EA94F0C" w:rsidR="00AF5F65" w:rsidRDefault="00A360B8">
      <w:r>
        <w:rPr>
          <w:rFonts w:ascii="Arial" w:eastAsia="Arial" w:hAnsi="Arial" w:cs="Arial"/>
          <w:color w:val="000000"/>
          <w:sz w:val="18"/>
          <w:szCs w:val="18"/>
        </w:rPr>
        <w:t>Zaria S. St Lawrence, DPM</w:t>
      </w:r>
      <w:r>
        <w:rPr>
          <w:rFonts w:ascii="Arial" w:eastAsia="Arial" w:hAnsi="Arial" w:cs="Arial"/>
          <w:i/>
          <w:iCs/>
          <w:sz w:val="18"/>
          <w:szCs w:val="18"/>
        </w:rPr>
        <w:t>‡</w:t>
      </w:r>
    </w:p>
    <w:p w14:paraId="7AF658E1" w14:textId="77777777" w:rsidR="00AF5F65" w:rsidRDefault="00A360B8">
      <w:r>
        <w:rPr>
          <w:rFonts w:ascii="Arial" w:eastAsia="Arial" w:hAnsi="Arial" w:cs="Arial"/>
          <w:color w:val="444444"/>
          <w:sz w:val="18"/>
          <w:szCs w:val="18"/>
        </w:rPr>
        <w:t>Sareyah Ahmed, DPM</w:t>
      </w:r>
    </w:p>
    <w:p w14:paraId="57BC980A" w14:textId="77777777" w:rsidR="00AF5F65" w:rsidRDefault="00A360B8">
      <w:r>
        <w:rPr>
          <w:rFonts w:ascii="Arial" w:eastAsia="Arial" w:hAnsi="Arial" w:cs="Arial"/>
          <w:color w:val="444444"/>
          <w:sz w:val="18"/>
          <w:szCs w:val="18"/>
        </w:rPr>
        <w:t>Ellianne M Nasser, DPM</w:t>
      </w:r>
    </w:p>
    <w:p w14:paraId="79218B79" w14:textId="7F5FE6D5" w:rsidR="00AF5F65" w:rsidRDefault="00A360B8">
      <w:pPr>
        <w:spacing w:before="180" w:after="60"/>
      </w:pPr>
      <w:r>
        <w:rPr>
          <w:rFonts w:ascii="Arial" w:eastAsia="Arial" w:hAnsi="Arial" w:cs="Arial"/>
          <w:b/>
          <w:bCs/>
          <w:color w:val="000000"/>
        </w:rPr>
        <w:t>25. Intra-Osseus Epidermal Inclusion Cyst of the Hallux</w:t>
      </w:r>
    </w:p>
    <w:p w14:paraId="16F0AAFA" w14:textId="5E13284C" w:rsidR="00AF5F65" w:rsidRDefault="00A360B8">
      <w:r>
        <w:rPr>
          <w:rFonts w:ascii="Arial" w:eastAsia="Arial" w:hAnsi="Arial" w:cs="Arial"/>
          <w:color w:val="000000"/>
          <w:sz w:val="18"/>
          <w:szCs w:val="18"/>
        </w:rPr>
        <w:t>Luke Kovaleski, DPM</w:t>
      </w:r>
      <w:r>
        <w:rPr>
          <w:rFonts w:ascii="Arial" w:eastAsia="Arial" w:hAnsi="Arial" w:cs="Arial"/>
          <w:i/>
          <w:iCs/>
          <w:sz w:val="18"/>
          <w:szCs w:val="18"/>
        </w:rPr>
        <w:t>‡</w:t>
      </w:r>
    </w:p>
    <w:p w14:paraId="29DC02C7" w14:textId="77777777" w:rsidR="00AF5F65" w:rsidRDefault="00A360B8">
      <w:r>
        <w:rPr>
          <w:rFonts w:ascii="Arial" w:eastAsia="Arial" w:hAnsi="Arial" w:cs="Arial"/>
          <w:color w:val="444444"/>
          <w:sz w:val="18"/>
          <w:szCs w:val="18"/>
        </w:rPr>
        <w:t>Ellianne Nasser, DPM</w:t>
      </w:r>
    </w:p>
    <w:p w14:paraId="78634A7B" w14:textId="77777777" w:rsidR="00AF5F65" w:rsidRDefault="00A360B8">
      <w:r>
        <w:rPr>
          <w:rFonts w:ascii="Arial" w:eastAsia="Arial" w:hAnsi="Arial" w:cs="Arial"/>
          <w:color w:val="444444"/>
          <w:sz w:val="18"/>
          <w:szCs w:val="18"/>
        </w:rPr>
        <w:t>Kasandra Trott, DPM</w:t>
      </w:r>
    </w:p>
    <w:p w14:paraId="142D47BF" w14:textId="50B2A994" w:rsidR="00AF5F65" w:rsidRDefault="00A360B8">
      <w:pPr>
        <w:spacing w:before="180" w:after="60"/>
      </w:pPr>
      <w:r>
        <w:rPr>
          <w:rFonts w:ascii="Arial" w:eastAsia="Arial" w:hAnsi="Arial" w:cs="Arial"/>
          <w:b/>
          <w:bCs/>
          <w:color w:val="000000"/>
        </w:rPr>
        <w:t>26. Limb Salvage Using Autologous Skin Cell Suspension Autograft (SCSA) in a Patient with Peripheral Vascular Disease and Chronic Lower Extremity Wounds</w:t>
      </w:r>
    </w:p>
    <w:p w14:paraId="282635FE" w14:textId="1FFDDB54" w:rsidR="00AF5F65" w:rsidRDefault="00A360B8">
      <w:r>
        <w:rPr>
          <w:rFonts w:ascii="Arial" w:eastAsia="Arial" w:hAnsi="Arial" w:cs="Arial"/>
          <w:color w:val="000000"/>
          <w:sz w:val="18"/>
          <w:szCs w:val="18"/>
        </w:rPr>
        <w:t>Jacob Paul, DPM</w:t>
      </w:r>
      <w:r>
        <w:rPr>
          <w:rFonts w:ascii="Arial" w:eastAsia="Arial" w:hAnsi="Arial" w:cs="Arial"/>
          <w:i/>
          <w:iCs/>
          <w:sz w:val="18"/>
          <w:szCs w:val="18"/>
        </w:rPr>
        <w:t>‡</w:t>
      </w:r>
    </w:p>
    <w:p w14:paraId="5CF20F50" w14:textId="77777777" w:rsidR="00AF5F65" w:rsidRDefault="00A360B8">
      <w:r>
        <w:rPr>
          <w:rFonts w:ascii="Arial" w:eastAsia="Arial" w:hAnsi="Arial" w:cs="Arial"/>
          <w:color w:val="444444"/>
          <w:sz w:val="18"/>
          <w:szCs w:val="18"/>
        </w:rPr>
        <w:t>Andrew Flaherty, DPM</w:t>
      </w:r>
    </w:p>
    <w:p w14:paraId="4D425930" w14:textId="77777777" w:rsidR="00AF5F65" w:rsidRDefault="00A360B8">
      <w:r>
        <w:rPr>
          <w:rFonts w:ascii="Arial" w:eastAsia="Arial" w:hAnsi="Arial" w:cs="Arial"/>
          <w:color w:val="444444"/>
          <w:sz w:val="18"/>
          <w:szCs w:val="18"/>
        </w:rPr>
        <w:t>Adam Hicks, DPM</w:t>
      </w:r>
    </w:p>
    <w:p w14:paraId="05645A36" w14:textId="6824E32B" w:rsidR="00AF5F65" w:rsidRDefault="00A360B8">
      <w:pPr>
        <w:spacing w:before="180" w:after="60"/>
      </w:pPr>
      <w:r>
        <w:rPr>
          <w:rFonts w:ascii="Arial" w:eastAsia="Arial" w:hAnsi="Arial" w:cs="Arial"/>
          <w:b/>
          <w:bCs/>
          <w:color w:val="000000"/>
        </w:rPr>
        <w:t>27. Localized Tenosynovial Giant Cell Tumor of the Hallux with Multilobular Transdigital Extension: A Rare Surgical Case Report</w:t>
      </w:r>
    </w:p>
    <w:p w14:paraId="75E57FF0" w14:textId="68D3F8AF" w:rsidR="00AF5F65" w:rsidRDefault="00A360B8">
      <w:r>
        <w:rPr>
          <w:rFonts w:ascii="Arial" w:eastAsia="Arial" w:hAnsi="Arial" w:cs="Arial"/>
          <w:color w:val="000000"/>
          <w:sz w:val="18"/>
          <w:szCs w:val="18"/>
        </w:rPr>
        <w:lastRenderedPageBreak/>
        <w:t>Sareyah I Ahmed, DPM</w:t>
      </w:r>
      <w:r>
        <w:rPr>
          <w:rFonts w:ascii="Arial" w:eastAsia="Arial" w:hAnsi="Arial" w:cs="Arial"/>
          <w:i/>
          <w:iCs/>
          <w:sz w:val="18"/>
          <w:szCs w:val="18"/>
        </w:rPr>
        <w:t>‡</w:t>
      </w:r>
    </w:p>
    <w:p w14:paraId="006A0E7B" w14:textId="77777777" w:rsidR="00AF5F65" w:rsidRDefault="00A360B8">
      <w:r>
        <w:rPr>
          <w:rFonts w:ascii="Arial" w:eastAsia="Arial" w:hAnsi="Arial" w:cs="Arial"/>
          <w:color w:val="444444"/>
          <w:sz w:val="18"/>
          <w:szCs w:val="18"/>
        </w:rPr>
        <w:t>Craig Scanland, DPM</w:t>
      </w:r>
    </w:p>
    <w:p w14:paraId="7FBA348F" w14:textId="2BE6B018" w:rsidR="00AF5F65" w:rsidRDefault="00A360B8">
      <w:pPr>
        <w:spacing w:before="180" w:after="60"/>
      </w:pPr>
      <w:r>
        <w:rPr>
          <w:rFonts w:ascii="Arial" w:eastAsia="Arial" w:hAnsi="Arial" w:cs="Arial"/>
          <w:b/>
          <w:bCs/>
          <w:color w:val="000000"/>
        </w:rPr>
        <w:t>28.  Modified Tibial Transverse Transport for Limb Salvage in Advanced Diabetic Ischemia Without Revascularization Options: Objective Perfusion Improvement and Clinical Healing</w:t>
      </w:r>
    </w:p>
    <w:p w14:paraId="257F54C7" w14:textId="26F8433E" w:rsidR="00AF5F65" w:rsidRPr="00D51F20" w:rsidRDefault="00A360B8">
      <w:pPr>
        <w:rPr>
          <w:lang w:val="es-ES"/>
        </w:rPr>
      </w:pPr>
      <w:r>
        <w:rPr>
          <w:rFonts w:ascii="Arial" w:eastAsia="Arial" w:hAnsi="Arial" w:cs="Arial"/>
          <w:color w:val="000000"/>
          <w:sz w:val="18"/>
          <w:szCs w:val="18"/>
          <w:lang w:val="es-ES"/>
        </w:rPr>
        <w:t>Alexander Leos, DPM</w:t>
      </w:r>
      <w:r>
        <w:rPr>
          <w:rFonts w:ascii="Arial" w:eastAsia="Arial" w:hAnsi="Arial" w:cs="Arial"/>
          <w:i/>
          <w:iCs/>
          <w:sz w:val="18"/>
          <w:szCs w:val="18"/>
          <w:lang w:val="es-ES"/>
        </w:rPr>
        <w:t>‡</w:t>
      </w:r>
    </w:p>
    <w:p w14:paraId="20E41DB4" w14:textId="77777777" w:rsidR="00AF5F65" w:rsidRPr="00D51F20" w:rsidRDefault="00A360B8">
      <w:pPr>
        <w:rPr>
          <w:lang w:val="es-ES"/>
        </w:rPr>
      </w:pPr>
      <w:r>
        <w:rPr>
          <w:rFonts w:ascii="Arial" w:eastAsia="Arial" w:hAnsi="Arial" w:cs="Arial"/>
          <w:color w:val="444444"/>
          <w:sz w:val="18"/>
          <w:szCs w:val="18"/>
          <w:lang w:val="es-ES"/>
        </w:rPr>
        <w:t>Sabiha Wahab, DPM</w:t>
      </w:r>
    </w:p>
    <w:p w14:paraId="6A5439D6" w14:textId="75DF6293" w:rsidR="00AF5F65" w:rsidRDefault="00A360B8">
      <w:pPr>
        <w:spacing w:before="180" w:after="60"/>
      </w:pPr>
      <w:r>
        <w:rPr>
          <w:rFonts w:ascii="Arial" w:eastAsia="Arial" w:hAnsi="Arial" w:cs="Arial"/>
          <w:b/>
          <w:bCs/>
          <w:color w:val="000000"/>
        </w:rPr>
        <w:t>29.  Mueller Weiss: A Case Report</w:t>
      </w:r>
    </w:p>
    <w:p w14:paraId="3C3BB077" w14:textId="1D386A0E" w:rsidR="00AF5F65" w:rsidRDefault="00A360B8">
      <w:r>
        <w:rPr>
          <w:rFonts w:ascii="Arial" w:eastAsia="Arial" w:hAnsi="Arial" w:cs="Arial"/>
          <w:color w:val="000000"/>
          <w:sz w:val="18"/>
          <w:szCs w:val="18"/>
        </w:rPr>
        <w:t>Luek Frame, DPM</w:t>
      </w:r>
      <w:r>
        <w:rPr>
          <w:rFonts w:ascii="Arial" w:eastAsia="Arial" w:hAnsi="Arial" w:cs="Arial"/>
          <w:i/>
          <w:iCs/>
          <w:sz w:val="18"/>
          <w:szCs w:val="18"/>
        </w:rPr>
        <w:t>‡</w:t>
      </w:r>
    </w:p>
    <w:p w14:paraId="58EDAA62" w14:textId="77777777" w:rsidR="00AF5F65" w:rsidRDefault="00A360B8">
      <w:r>
        <w:rPr>
          <w:rFonts w:ascii="Arial" w:eastAsia="Arial" w:hAnsi="Arial" w:cs="Arial"/>
          <w:color w:val="444444"/>
          <w:sz w:val="18"/>
          <w:szCs w:val="18"/>
        </w:rPr>
        <w:t>Matthew Dang, DPM</w:t>
      </w:r>
    </w:p>
    <w:p w14:paraId="30AE53AF" w14:textId="77777777" w:rsidR="00AF5F65" w:rsidRDefault="00A360B8">
      <w:r>
        <w:rPr>
          <w:rFonts w:ascii="Arial" w:eastAsia="Arial" w:hAnsi="Arial" w:cs="Arial"/>
          <w:color w:val="444444"/>
          <w:sz w:val="18"/>
          <w:szCs w:val="18"/>
        </w:rPr>
        <w:t>Judy Kleman, DPM</w:t>
      </w:r>
    </w:p>
    <w:p w14:paraId="2ACD3180" w14:textId="2446DEBD" w:rsidR="00AF5F65" w:rsidRDefault="00E82061">
      <w:pPr>
        <w:spacing w:before="180" w:after="60"/>
      </w:pPr>
      <w:r>
        <w:rPr>
          <w:rFonts w:ascii="Arial" w:eastAsia="Arial" w:hAnsi="Arial" w:cs="Arial"/>
          <w:b/>
          <w:bCs/>
          <w:color w:val="000000"/>
        </w:rPr>
        <w:t>30. Multiplanar Midfoot and Hindfoot Reconstruction for Bilateral Cavovarus Deformity Complicated by Severe Metatarsus Adductus: A Case Report</w:t>
      </w:r>
    </w:p>
    <w:p w14:paraId="1CF0B592" w14:textId="18496E56" w:rsidR="00AF5F65" w:rsidRDefault="00A360B8">
      <w:r>
        <w:rPr>
          <w:rFonts w:ascii="Arial" w:eastAsia="Arial" w:hAnsi="Arial" w:cs="Arial"/>
          <w:color w:val="000000"/>
          <w:sz w:val="18"/>
          <w:szCs w:val="18"/>
        </w:rPr>
        <w:t>Luqmaan Ahmed, DPM</w:t>
      </w:r>
      <w:r>
        <w:rPr>
          <w:rFonts w:ascii="Arial" w:eastAsia="Arial" w:hAnsi="Arial" w:cs="Arial"/>
          <w:i/>
          <w:iCs/>
          <w:sz w:val="18"/>
          <w:szCs w:val="18"/>
        </w:rPr>
        <w:t>‡</w:t>
      </w:r>
    </w:p>
    <w:p w14:paraId="5972731C" w14:textId="7859C58E" w:rsidR="00AF5F65" w:rsidRDefault="00A360B8">
      <w:r>
        <w:rPr>
          <w:rFonts w:ascii="Arial" w:eastAsia="Arial" w:hAnsi="Arial" w:cs="Arial"/>
          <w:color w:val="444444"/>
          <w:sz w:val="18"/>
          <w:szCs w:val="18"/>
        </w:rPr>
        <w:t>Austin M. Wheatley</w:t>
      </w:r>
    </w:p>
    <w:p w14:paraId="16B6E78B" w14:textId="26FCBFC4" w:rsidR="00AF5F65" w:rsidRDefault="00A360B8">
      <w:r>
        <w:rPr>
          <w:rFonts w:ascii="Arial" w:eastAsia="Arial" w:hAnsi="Arial" w:cs="Arial"/>
          <w:color w:val="444444"/>
          <w:sz w:val="18"/>
          <w:szCs w:val="18"/>
        </w:rPr>
        <w:t>James H. Whelan, DPM</w:t>
      </w:r>
    </w:p>
    <w:p w14:paraId="01DD8855" w14:textId="4DE18DC6" w:rsidR="00AF5F65" w:rsidRDefault="00A360B8">
      <w:pPr>
        <w:spacing w:before="180" w:after="60"/>
      </w:pPr>
      <w:r>
        <w:rPr>
          <w:rFonts w:ascii="Arial" w:eastAsia="Arial" w:hAnsi="Arial" w:cs="Arial"/>
          <w:b/>
          <w:bCs/>
          <w:color w:val="000000"/>
        </w:rPr>
        <w:t>31. Multiple Epidermal Inclusion Cysts After Topaz Microtenotomy for Plantar Fasciitis: A Case Study</w:t>
      </w:r>
    </w:p>
    <w:p w14:paraId="2AC3C746" w14:textId="22457C97" w:rsidR="00AF5F65" w:rsidRDefault="00A360B8">
      <w:r>
        <w:rPr>
          <w:rFonts w:ascii="Arial" w:eastAsia="Arial" w:hAnsi="Arial" w:cs="Arial"/>
          <w:color w:val="000000"/>
          <w:sz w:val="18"/>
          <w:szCs w:val="18"/>
        </w:rPr>
        <w:t>Elizabeth H. Alvord, DPM</w:t>
      </w:r>
      <w:r>
        <w:rPr>
          <w:rFonts w:ascii="Arial" w:eastAsia="Arial" w:hAnsi="Arial" w:cs="Arial"/>
          <w:i/>
          <w:iCs/>
          <w:sz w:val="18"/>
          <w:szCs w:val="18"/>
        </w:rPr>
        <w:t>‡</w:t>
      </w:r>
    </w:p>
    <w:p w14:paraId="33C08A38" w14:textId="77777777" w:rsidR="00AF5F65" w:rsidRDefault="00A360B8">
      <w:r>
        <w:rPr>
          <w:rFonts w:ascii="Arial" w:eastAsia="Arial" w:hAnsi="Arial" w:cs="Arial"/>
          <w:color w:val="444444"/>
          <w:sz w:val="18"/>
          <w:szCs w:val="18"/>
        </w:rPr>
        <w:t>Roshni Patel, DPM</w:t>
      </w:r>
    </w:p>
    <w:p w14:paraId="7C836340" w14:textId="5F5263E5" w:rsidR="00AF5F65" w:rsidRDefault="00A360B8">
      <w:r>
        <w:rPr>
          <w:rFonts w:ascii="Arial" w:eastAsia="Arial" w:hAnsi="Arial" w:cs="Arial"/>
          <w:color w:val="444444"/>
          <w:sz w:val="18"/>
          <w:szCs w:val="18"/>
        </w:rPr>
        <w:t>James H. Whelan, DPM</w:t>
      </w:r>
    </w:p>
    <w:p w14:paraId="57839771" w14:textId="07DA7D90" w:rsidR="00AF5F65" w:rsidRDefault="00A360B8">
      <w:pPr>
        <w:spacing w:before="180" w:after="60"/>
      </w:pPr>
      <w:r>
        <w:rPr>
          <w:rFonts w:ascii="Arial" w:eastAsia="Arial" w:hAnsi="Arial" w:cs="Arial"/>
          <w:b/>
          <w:bCs/>
          <w:color w:val="000000"/>
        </w:rPr>
        <w:t>32. Not Just an Entrapment: An Unexpected Amyloidoma Mimicking a Ganglion Cyst in the Anterior Tarsal Tunnel</w:t>
      </w:r>
    </w:p>
    <w:p w14:paraId="6E55BA5E" w14:textId="1872ED95" w:rsidR="00AF5F65" w:rsidRPr="00D51F20" w:rsidRDefault="00A360B8">
      <w:pPr>
        <w:rPr>
          <w:lang w:val="es-ES"/>
        </w:rPr>
      </w:pPr>
      <w:r>
        <w:rPr>
          <w:rFonts w:ascii="Arial" w:eastAsia="Arial" w:hAnsi="Arial" w:cs="Arial"/>
          <w:color w:val="000000"/>
          <w:sz w:val="18"/>
          <w:szCs w:val="18"/>
          <w:lang w:val="es-ES"/>
        </w:rPr>
        <w:t>Raissa Elizabeth Cain Zarzosa, DPM</w:t>
      </w:r>
      <w:r>
        <w:rPr>
          <w:rFonts w:ascii="Arial" w:eastAsia="Arial" w:hAnsi="Arial" w:cs="Arial"/>
          <w:i/>
          <w:iCs/>
          <w:sz w:val="18"/>
          <w:szCs w:val="18"/>
          <w:lang w:val="es-ES"/>
        </w:rPr>
        <w:t>‡</w:t>
      </w:r>
    </w:p>
    <w:p w14:paraId="69DB8CB3" w14:textId="77777777" w:rsidR="00AF5F65" w:rsidRDefault="00A360B8">
      <w:r>
        <w:rPr>
          <w:rFonts w:ascii="Arial" w:eastAsia="Arial" w:hAnsi="Arial" w:cs="Arial"/>
          <w:color w:val="444444"/>
          <w:sz w:val="18"/>
          <w:szCs w:val="18"/>
        </w:rPr>
        <w:t>Nicole Elizabeth Branning, DPM</w:t>
      </w:r>
    </w:p>
    <w:p w14:paraId="26B1A63D" w14:textId="4BB7407D" w:rsidR="00AF5F65" w:rsidRDefault="00A360B8">
      <w:pPr>
        <w:spacing w:before="180" w:after="60"/>
      </w:pPr>
      <w:r>
        <w:rPr>
          <w:rFonts w:ascii="Arial" w:eastAsia="Arial" w:hAnsi="Arial" w:cs="Arial"/>
          <w:b/>
          <w:bCs/>
          <w:color w:val="000000"/>
        </w:rPr>
        <w:t>33. Pedal Infiltrating Nodular Basal Cell Carcinoma Following Misdiagnosis as a Nonhealing Ulcer: A Case Report Demonstrating Patient Workup and Multispecialty Approach</w:t>
      </w:r>
    </w:p>
    <w:p w14:paraId="08434BA1" w14:textId="285B4745" w:rsidR="00AF5F65" w:rsidRDefault="00A360B8">
      <w:r>
        <w:rPr>
          <w:rFonts w:ascii="Arial" w:eastAsia="Arial" w:hAnsi="Arial" w:cs="Arial"/>
          <w:color w:val="000000"/>
          <w:sz w:val="18"/>
          <w:szCs w:val="18"/>
        </w:rPr>
        <w:t>Bobbie Sternad, DPM</w:t>
      </w:r>
      <w:r>
        <w:rPr>
          <w:rFonts w:ascii="Arial" w:eastAsia="Arial" w:hAnsi="Arial" w:cs="Arial"/>
          <w:i/>
          <w:iCs/>
          <w:sz w:val="18"/>
          <w:szCs w:val="18"/>
        </w:rPr>
        <w:t>‡</w:t>
      </w:r>
    </w:p>
    <w:p w14:paraId="0E67276D" w14:textId="78B4DCE8" w:rsidR="00AF5F65" w:rsidRDefault="00A360B8">
      <w:r>
        <w:rPr>
          <w:rFonts w:ascii="Arial" w:eastAsia="Arial" w:hAnsi="Arial" w:cs="Arial"/>
          <w:color w:val="444444"/>
          <w:sz w:val="18"/>
          <w:szCs w:val="18"/>
        </w:rPr>
        <w:t>Kimberly Bobbitt, DPM</w:t>
      </w:r>
    </w:p>
    <w:p w14:paraId="51B525DA" w14:textId="1A96D2F2" w:rsidR="00AF5F65" w:rsidRDefault="00A360B8">
      <w:pPr>
        <w:spacing w:before="180" w:after="60"/>
      </w:pPr>
      <w:r>
        <w:rPr>
          <w:rFonts w:ascii="Arial" w:eastAsia="Arial" w:hAnsi="Arial" w:cs="Arial"/>
          <w:b/>
          <w:bCs/>
          <w:color w:val="000000"/>
        </w:rPr>
        <w:t>34. A Rare Case of Spindle Cell Neoplasm: Diagnostic Challenges and Clinical Implications</w:t>
      </w:r>
    </w:p>
    <w:p w14:paraId="2D7A0279" w14:textId="76CF3A3B" w:rsidR="00AF5F65" w:rsidRDefault="00A360B8">
      <w:r>
        <w:rPr>
          <w:rFonts w:ascii="Arial" w:eastAsia="Arial" w:hAnsi="Arial" w:cs="Arial"/>
          <w:color w:val="000000"/>
          <w:sz w:val="18"/>
          <w:szCs w:val="18"/>
        </w:rPr>
        <w:t>Muhammad S. Siddiqui, DPM</w:t>
      </w:r>
      <w:r>
        <w:rPr>
          <w:rFonts w:ascii="Arial" w:eastAsia="Arial" w:hAnsi="Arial" w:cs="Arial"/>
          <w:i/>
          <w:iCs/>
          <w:sz w:val="18"/>
          <w:szCs w:val="18"/>
        </w:rPr>
        <w:t>‡</w:t>
      </w:r>
    </w:p>
    <w:p w14:paraId="3CBDB379" w14:textId="77777777" w:rsidR="00AF5F65" w:rsidRDefault="00A360B8">
      <w:r>
        <w:rPr>
          <w:rFonts w:ascii="Arial" w:eastAsia="Arial" w:hAnsi="Arial" w:cs="Arial"/>
          <w:color w:val="444444"/>
          <w:sz w:val="18"/>
          <w:szCs w:val="18"/>
        </w:rPr>
        <w:t>Dallin Sorensen, DPM</w:t>
      </w:r>
    </w:p>
    <w:p w14:paraId="549B08CA" w14:textId="0AF08CDD" w:rsidR="00AF5F65" w:rsidRDefault="00A360B8">
      <w:pPr>
        <w:spacing w:before="180" w:after="60"/>
      </w:pPr>
      <w:r>
        <w:rPr>
          <w:rFonts w:ascii="Arial" w:eastAsia="Arial" w:hAnsi="Arial" w:cs="Arial"/>
          <w:b/>
          <w:bCs/>
          <w:color w:val="000000"/>
        </w:rPr>
        <w:t>35. Retrospective Analysis of Outpatient Delayed Primary Closures for Surgical Wound Dehiscence in a Clinic Setting</w:t>
      </w:r>
    </w:p>
    <w:p w14:paraId="5AAD136F" w14:textId="60D55051" w:rsidR="00AF5F65" w:rsidRDefault="00A360B8">
      <w:r>
        <w:rPr>
          <w:rFonts w:ascii="Arial" w:eastAsia="Arial" w:hAnsi="Arial" w:cs="Arial"/>
          <w:color w:val="000000"/>
          <w:sz w:val="18"/>
          <w:szCs w:val="18"/>
        </w:rPr>
        <w:t>Roshni Patel, DPM</w:t>
      </w:r>
      <w:r>
        <w:rPr>
          <w:rFonts w:ascii="Arial" w:eastAsia="Arial" w:hAnsi="Arial" w:cs="Arial"/>
          <w:i/>
          <w:iCs/>
          <w:sz w:val="18"/>
          <w:szCs w:val="18"/>
        </w:rPr>
        <w:t>‡</w:t>
      </w:r>
    </w:p>
    <w:p w14:paraId="3CCF724D" w14:textId="62877FC2" w:rsidR="00AF5F65" w:rsidRDefault="00A360B8">
      <w:r>
        <w:rPr>
          <w:rFonts w:ascii="Arial" w:eastAsia="Arial" w:hAnsi="Arial" w:cs="Arial"/>
          <w:color w:val="444444"/>
          <w:sz w:val="18"/>
          <w:szCs w:val="18"/>
        </w:rPr>
        <w:t>James H. Whelan, DPM</w:t>
      </w:r>
    </w:p>
    <w:p w14:paraId="7D60B9CD" w14:textId="0300F3B5" w:rsidR="00AF5F65" w:rsidRDefault="00A360B8">
      <w:pPr>
        <w:spacing w:before="180" w:after="60"/>
      </w:pPr>
      <w:r>
        <w:rPr>
          <w:rFonts w:ascii="Arial" w:eastAsia="Arial" w:hAnsi="Arial" w:cs="Arial"/>
          <w:b/>
          <w:bCs/>
          <w:color w:val="000000"/>
        </w:rPr>
        <w:t>36. Revision Subtalar Joint Arthrodesis Utilizing a Special Naviculocalcaneal Construct With Concomitant Talonavicular Fusion: A Case Report</w:t>
      </w:r>
    </w:p>
    <w:p w14:paraId="02C4F8C5" w14:textId="72771774" w:rsidR="00AF5F65" w:rsidRDefault="00A360B8">
      <w:r>
        <w:rPr>
          <w:rFonts w:ascii="Arial" w:eastAsia="Arial" w:hAnsi="Arial" w:cs="Arial"/>
          <w:color w:val="000000"/>
          <w:sz w:val="18"/>
          <w:szCs w:val="18"/>
        </w:rPr>
        <w:t>Roshni Patel, DPM</w:t>
      </w:r>
      <w:r>
        <w:rPr>
          <w:rFonts w:ascii="Arial" w:eastAsia="Arial" w:hAnsi="Arial" w:cs="Arial"/>
          <w:i/>
          <w:iCs/>
          <w:sz w:val="18"/>
          <w:szCs w:val="18"/>
        </w:rPr>
        <w:t>‡</w:t>
      </w:r>
    </w:p>
    <w:p w14:paraId="59884474" w14:textId="77777777" w:rsidR="00AF5F65" w:rsidRDefault="00A360B8">
      <w:r>
        <w:rPr>
          <w:rFonts w:ascii="Arial" w:eastAsia="Arial" w:hAnsi="Arial" w:cs="Arial"/>
          <w:color w:val="444444"/>
          <w:sz w:val="18"/>
          <w:szCs w:val="18"/>
        </w:rPr>
        <w:t>Austin Wheatley</w:t>
      </w:r>
    </w:p>
    <w:p w14:paraId="5BB6FA65" w14:textId="25344D55" w:rsidR="00AF5F65" w:rsidRDefault="00A360B8">
      <w:r>
        <w:rPr>
          <w:rFonts w:ascii="Arial" w:eastAsia="Arial" w:hAnsi="Arial" w:cs="Arial"/>
          <w:color w:val="444444"/>
          <w:sz w:val="18"/>
          <w:szCs w:val="18"/>
        </w:rPr>
        <w:t>James H. Whelan, DPM</w:t>
      </w:r>
    </w:p>
    <w:p w14:paraId="15B0E6E3" w14:textId="7EC13D34" w:rsidR="00AF5F65" w:rsidRDefault="00A360B8">
      <w:pPr>
        <w:spacing w:before="180" w:after="60"/>
      </w:pPr>
      <w:r>
        <w:rPr>
          <w:rFonts w:ascii="Arial" w:eastAsia="Arial" w:hAnsi="Arial" w:cs="Arial"/>
          <w:b/>
          <w:bCs/>
          <w:color w:val="000000"/>
        </w:rPr>
        <w:t>37. Salvage Reconstruction of Failed Cavovarus Deformity Correction: A Case Report</w:t>
      </w:r>
    </w:p>
    <w:p w14:paraId="3E963F0C" w14:textId="5F271255" w:rsidR="00AF5F65" w:rsidRDefault="00A360B8">
      <w:r>
        <w:rPr>
          <w:rFonts w:ascii="Arial" w:eastAsia="Arial" w:hAnsi="Arial" w:cs="Arial"/>
          <w:color w:val="000000"/>
          <w:sz w:val="18"/>
          <w:szCs w:val="18"/>
        </w:rPr>
        <w:t>Dhruv Patel, DPM</w:t>
      </w:r>
      <w:r>
        <w:rPr>
          <w:rFonts w:ascii="Arial" w:eastAsia="Arial" w:hAnsi="Arial" w:cs="Arial"/>
          <w:i/>
          <w:iCs/>
          <w:sz w:val="18"/>
          <w:szCs w:val="18"/>
        </w:rPr>
        <w:t>‡</w:t>
      </w:r>
    </w:p>
    <w:p w14:paraId="24FD8C1F" w14:textId="0B1450C0" w:rsidR="00AF5F65" w:rsidRDefault="00A360B8">
      <w:r>
        <w:rPr>
          <w:rFonts w:ascii="Arial" w:eastAsia="Arial" w:hAnsi="Arial" w:cs="Arial"/>
          <w:color w:val="444444"/>
          <w:sz w:val="18"/>
          <w:szCs w:val="18"/>
        </w:rPr>
        <w:t>James H. Whelan, DPM</w:t>
      </w:r>
    </w:p>
    <w:p w14:paraId="2DF55628" w14:textId="7CFFB69F" w:rsidR="00AF5F65" w:rsidRDefault="00A360B8">
      <w:pPr>
        <w:spacing w:before="180" w:after="60"/>
      </w:pPr>
      <w:r>
        <w:rPr>
          <w:rFonts w:ascii="Arial" w:eastAsia="Arial" w:hAnsi="Arial" w:cs="Arial"/>
          <w:b/>
          <w:bCs/>
          <w:color w:val="000000"/>
        </w:rPr>
        <w:t>38. Soft Tissue Repair for Flexible Hallux Varus Deformity: A Case Study</w:t>
      </w:r>
    </w:p>
    <w:p w14:paraId="37F70EA7" w14:textId="693D6C8B" w:rsidR="00AF5F65" w:rsidRDefault="00A360B8">
      <w:r>
        <w:rPr>
          <w:rFonts w:ascii="Arial" w:eastAsia="Arial" w:hAnsi="Arial" w:cs="Arial"/>
          <w:color w:val="000000"/>
          <w:sz w:val="18"/>
          <w:szCs w:val="18"/>
        </w:rPr>
        <w:t>Natalie Magda, DPM</w:t>
      </w:r>
      <w:r>
        <w:rPr>
          <w:rFonts w:ascii="Arial" w:eastAsia="Arial" w:hAnsi="Arial" w:cs="Arial"/>
          <w:i/>
          <w:iCs/>
          <w:sz w:val="18"/>
          <w:szCs w:val="18"/>
        </w:rPr>
        <w:t>‡</w:t>
      </w:r>
    </w:p>
    <w:p w14:paraId="1BF9F982" w14:textId="77777777" w:rsidR="00AF5F65" w:rsidRDefault="00A360B8">
      <w:r>
        <w:rPr>
          <w:rFonts w:ascii="Arial" w:eastAsia="Arial" w:hAnsi="Arial" w:cs="Arial"/>
          <w:color w:val="444444"/>
          <w:sz w:val="18"/>
          <w:szCs w:val="18"/>
        </w:rPr>
        <w:t>Ellie Cruse, DPM</w:t>
      </w:r>
    </w:p>
    <w:p w14:paraId="5FE5A5B9" w14:textId="50FD7951" w:rsidR="00AF5F65" w:rsidRDefault="00A360B8">
      <w:pPr>
        <w:spacing w:before="180" w:after="60"/>
      </w:pPr>
      <w:r>
        <w:rPr>
          <w:rFonts w:ascii="Arial" w:eastAsia="Arial" w:hAnsi="Arial" w:cs="Arial"/>
          <w:b/>
          <w:bCs/>
          <w:color w:val="000000"/>
        </w:rPr>
        <w:t>39. Staged Dynamization for Salvage of Recurrent 1st MTPJ Joint Nonunion A Novel Technique Using K-wires and Teriparatide Augmentation</w:t>
      </w:r>
    </w:p>
    <w:p w14:paraId="08139E93" w14:textId="47FD4801" w:rsidR="00AF5F65" w:rsidRDefault="00A360B8">
      <w:r>
        <w:rPr>
          <w:rFonts w:ascii="Arial" w:eastAsia="Arial" w:hAnsi="Arial" w:cs="Arial"/>
          <w:color w:val="000000"/>
          <w:sz w:val="18"/>
          <w:szCs w:val="18"/>
        </w:rPr>
        <w:t>Peter A. Sorensen, DPM, MHA</w:t>
      </w:r>
      <w:r>
        <w:rPr>
          <w:rFonts w:ascii="Arial" w:eastAsia="Arial" w:hAnsi="Arial" w:cs="Arial"/>
          <w:i/>
          <w:iCs/>
          <w:sz w:val="18"/>
          <w:szCs w:val="18"/>
        </w:rPr>
        <w:t>‡</w:t>
      </w:r>
    </w:p>
    <w:p w14:paraId="73B7243F" w14:textId="5E338F62" w:rsidR="00AF5F65" w:rsidRDefault="00A360B8">
      <w:pPr>
        <w:spacing w:before="180" w:after="60"/>
      </w:pPr>
      <w:r>
        <w:rPr>
          <w:rFonts w:ascii="Arial" w:eastAsia="Arial" w:hAnsi="Arial" w:cs="Arial"/>
          <w:b/>
          <w:bCs/>
          <w:color w:val="000000"/>
        </w:rPr>
        <w:lastRenderedPageBreak/>
        <w:t>40. Staged Surgical Treatment of a Neglected Congenital Vertical Talus Complicated by Burn-Induced Skin Contracture</w:t>
      </w:r>
    </w:p>
    <w:p w14:paraId="53F68397" w14:textId="065BBD2F" w:rsidR="00AF5F65" w:rsidRDefault="00A360B8">
      <w:r>
        <w:rPr>
          <w:rFonts w:ascii="Arial" w:eastAsia="Arial" w:hAnsi="Arial" w:cs="Arial"/>
          <w:color w:val="000000"/>
          <w:sz w:val="18"/>
          <w:szCs w:val="18"/>
        </w:rPr>
        <w:t>Bobbie Sternad, DPM</w:t>
      </w:r>
      <w:r>
        <w:rPr>
          <w:rFonts w:ascii="Arial" w:eastAsia="Arial" w:hAnsi="Arial" w:cs="Arial"/>
          <w:i/>
          <w:iCs/>
          <w:sz w:val="18"/>
          <w:szCs w:val="18"/>
        </w:rPr>
        <w:t>‡</w:t>
      </w:r>
    </w:p>
    <w:p w14:paraId="332317B1" w14:textId="77777777" w:rsidR="00AF5F65" w:rsidRDefault="00A360B8">
      <w:r>
        <w:rPr>
          <w:rFonts w:ascii="Arial" w:eastAsia="Arial" w:hAnsi="Arial" w:cs="Arial"/>
          <w:color w:val="444444"/>
          <w:sz w:val="18"/>
          <w:szCs w:val="18"/>
        </w:rPr>
        <w:t>Kimberly Bobbitt, DPM</w:t>
      </w:r>
    </w:p>
    <w:p w14:paraId="6450A0FD" w14:textId="536EBFA7" w:rsidR="00AF5F65" w:rsidRDefault="00A360B8">
      <w:pPr>
        <w:spacing w:before="180" w:after="60"/>
      </w:pPr>
      <w:r>
        <w:rPr>
          <w:rFonts w:ascii="Arial" w:eastAsia="Arial" w:hAnsi="Arial" w:cs="Arial"/>
          <w:b/>
          <w:bCs/>
          <w:color w:val="000000"/>
        </w:rPr>
        <w:t>41. Surgical Approach to Extensive Podiatric Gout</w:t>
      </w:r>
    </w:p>
    <w:p w14:paraId="043CF2E3" w14:textId="087558B8" w:rsidR="00AF5F65" w:rsidRDefault="00A360B8">
      <w:r>
        <w:rPr>
          <w:rFonts w:ascii="Arial" w:eastAsia="Arial" w:hAnsi="Arial" w:cs="Arial"/>
          <w:color w:val="000000"/>
          <w:sz w:val="18"/>
          <w:szCs w:val="18"/>
        </w:rPr>
        <w:t>Timothy Tran, DPM</w:t>
      </w:r>
      <w:r>
        <w:rPr>
          <w:rFonts w:ascii="Arial" w:eastAsia="Arial" w:hAnsi="Arial" w:cs="Arial"/>
          <w:i/>
          <w:iCs/>
          <w:sz w:val="18"/>
          <w:szCs w:val="18"/>
        </w:rPr>
        <w:t>‡</w:t>
      </w:r>
    </w:p>
    <w:p w14:paraId="4D97AC8A" w14:textId="4C12E633" w:rsidR="00AF5F65" w:rsidRDefault="00A360B8">
      <w:pPr>
        <w:spacing w:before="180" w:after="60"/>
      </w:pPr>
      <w:r>
        <w:rPr>
          <w:rFonts w:ascii="Arial" w:eastAsia="Arial" w:hAnsi="Arial" w:cs="Arial"/>
          <w:b/>
          <w:bCs/>
          <w:color w:val="000000"/>
        </w:rPr>
        <w:t>42. Total and Subtotal Calcanectomy as Viable Alternative to BKA:  A Case Series</w:t>
      </w:r>
    </w:p>
    <w:p w14:paraId="4EC2F74F" w14:textId="149100C1" w:rsidR="00AF5F65" w:rsidRDefault="00A360B8">
      <w:r>
        <w:rPr>
          <w:rFonts w:ascii="Arial" w:eastAsia="Arial" w:hAnsi="Arial" w:cs="Arial"/>
          <w:color w:val="000000"/>
          <w:sz w:val="18"/>
          <w:szCs w:val="18"/>
        </w:rPr>
        <w:t>Tina Javanbakht, DPM, MPH</w:t>
      </w:r>
      <w:r>
        <w:rPr>
          <w:rFonts w:ascii="Arial" w:eastAsia="Arial" w:hAnsi="Arial" w:cs="Arial"/>
          <w:i/>
          <w:iCs/>
          <w:sz w:val="18"/>
          <w:szCs w:val="18"/>
        </w:rPr>
        <w:t>‡</w:t>
      </w:r>
    </w:p>
    <w:p w14:paraId="2E2C98DB" w14:textId="69FE2014" w:rsidR="00AF5F65" w:rsidRDefault="00A360B8">
      <w:r>
        <w:rPr>
          <w:rFonts w:ascii="Arial" w:eastAsia="Arial" w:hAnsi="Arial" w:cs="Arial"/>
          <w:color w:val="444444"/>
          <w:sz w:val="18"/>
          <w:szCs w:val="18"/>
        </w:rPr>
        <w:t>Chia-Ding Shih, DPM, MPH, MA</w:t>
      </w:r>
    </w:p>
    <w:p w14:paraId="7FF0E531" w14:textId="71795653" w:rsidR="00AF5F65" w:rsidRDefault="00A360B8">
      <w:pPr>
        <w:spacing w:before="180" w:after="60"/>
      </w:pPr>
      <w:r>
        <w:rPr>
          <w:rFonts w:ascii="Arial" w:eastAsia="Arial" w:hAnsi="Arial" w:cs="Arial"/>
          <w:b/>
          <w:bCs/>
          <w:color w:val="000000"/>
        </w:rPr>
        <w:t>43. Two Approaches to Managing Severely Comminuted Calcaneal Fractures With Subtalar Dislocation and Talar Extrusion</w:t>
      </w:r>
    </w:p>
    <w:p w14:paraId="57958E9F" w14:textId="05CED704" w:rsidR="00AF5F65" w:rsidRDefault="00A360B8">
      <w:r>
        <w:rPr>
          <w:rFonts w:ascii="Arial" w:eastAsia="Arial" w:hAnsi="Arial" w:cs="Arial"/>
          <w:color w:val="000000"/>
          <w:sz w:val="18"/>
          <w:szCs w:val="18"/>
        </w:rPr>
        <w:t>Zhisheng Shao, DPM</w:t>
      </w:r>
      <w:r>
        <w:rPr>
          <w:rFonts w:ascii="Arial" w:eastAsia="Arial" w:hAnsi="Arial" w:cs="Arial"/>
          <w:i/>
          <w:iCs/>
          <w:sz w:val="18"/>
          <w:szCs w:val="18"/>
        </w:rPr>
        <w:t>‡</w:t>
      </w:r>
    </w:p>
    <w:p w14:paraId="1F8D537D" w14:textId="77777777" w:rsidR="00AF5F65" w:rsidRDefault="00A360B8">
      <w:r>
        <w:rPr>
          <w:rFonts w:ascii="Arial" w:eastAsia="Arial" w:hAnsi="Arial" w:cs="Arial"/>
          <w:color w:val="444444"/>
          <w:sz w:val="18"/>
          <w:szCs w:val="18"/>
        </w:rPr>
        <w:t>Parmvir Deo, DPM</w:t>
      </w:r>
    </w:p>
    <w:p w14:paraId="0BC8A134" w14:textId="77777777" w:rsidR="00AF5F65" w:rsidRDefault="00A360B8">
      <w:r>
        <w:rPr>
          <w:rFonts w:ascii="Arial" w:eastAsia="Arial" w:hAnsi="Arial" w:cs="Arial"/>
          <w:color w:val="444444"/>
          <w:sz w:val="18"/>
          <w:szCs w:val="18"/>
        </w:rPr>
        <w:t>Anthony McColgan, DPM</w:t>
      </w:r>
    </w:p>
    <w:p w14:paraId="2ADD039C" w14:textId="3176B015" w:rsidR="00AF5F65" w:rsidRDefault="00A360B8">
      <w:pPr>
        <w:spacing w:before="180" w:after="60"/>
      </w:pPr>
      <w:r>
        <w:rPr>
          <w:rFonts w:ascii="Arial" w:eastAsia="Arial" w:hAnsi="Arial" w:cs="Arial"/>
          <w:b/>
          <w:bCs/>
          <w:color w:val="000000"/>
        </w:rPr>
        <w:t>44. Unmasking Mycetoma: When a Foot Mass Isn’t What It Seems: A Case Report</w:t>
      </w:r>
    </w:p>
    <w:p w14:paraId="7BE04897" w14:textId="013282CF" w:rsidR="00AF5F65" w:rsidRDefault="00A360B8">
      <w:r>
        <w:rPr>
          <w:rFonts w:ascii="Arial" w:eastAsia="Arial" w:hAnsi="Arial" w:cs="Arial"/>
          <w:color w:val="000000"/>
          <w:sz w:val="18"/>
          <w:szCs w:val="18"/>
        </w:rPr>
        <w:t>Marlena S. Moore, DPM</w:t>
      </w:r>
      <w:r>
        <w:rPr>
          <w:rFonts w:ascii="Arial" w:eastAsia="Arial" w:hAnsi="Arial" w:cs="Arial"/>
          <w:i/>
          <w:iCs/>
          <w:sz w:val="18"/>
          <w:szCs w:val="18"/>
        </w:rPr>
        <w:t>‡</w:t>
      </w:r>
    </w:p>
    <w:p w14:paraId="664DCFA6" w14:textId="09D0FC1F" w:rsidR="00AF5F65" w:rsidRDefault="00A360B8">
      <w:r>
        <w:rPr>
          <w:rFonts w:ascii="Arial" w:eastAsia="Arial" w:hAnsi="Arial" w:cs="Arial"/>
          <w:color w:val="444444"/>
          <w:sz w:val="18"/>
          <w:szCs w:val="18"/>
        </w:rPr>
        <w:t>Adam J. Bernatsky, DPM</w:t>
      </w:r>
    </w:p>
    <w:p w14:paraId="4BBFC2E6" w14:textId="1E7775AB" w:rsidR="00AF5F65" w:rsidRDefault="00A360B8">
      <w:r>
        <w:rPr>
          <w:rFonts w:ascii="Arial" w:eastAsia="Arial" w:hAnsi="Arial" w:cs="Arial"/>
          <w:color w:val="444444"/>
          <w:sz w:val="18"/>
          <w:szCs w:val="18"/>
        </w:rPr>
        <w:t>Andrew R. Missbrenner, DPM</w:t>
      </w:r>
    </w:p>
    <w:p w14:paraId="16A4DCA1" w14:textId="0B8120E3" w:rsidR="00AF5F65" w:rsidRDefault="00A360B8">
      <w:pPr>
        <w:spacing w:before="180" w:after="60"/>
      </w:pPr>
      <w:r>
        <w:rPr>
          <w:rFonts w:ascii="Arial" w:eastAsia="Arial" w:hAnsi="Arial" w:cs="Arial"/>
          <w:b/>
          <w:bCs/>
          <w:color w:val="000000"/>
        </w:rPr>
        <w:t>45. Value of Monitoring Tissue Demarcation and Angiogenesis After Revascularization in Progressive Foot Gangrene: A Limb Salvage Case</w:t>
      </w:r>
    </w:p>
    <w:p w14:paraId="4DB0D59E" w14:textId="171853FF" w:rsidR="00AF5F65" w:rsidRDefault="00A360B8">
      <w:r>
        <w:rPr>
          <w:rFonts w:ascii="Arial" w:eastAsia="Arial" w:hAnsi="Arial" w:cs="Arial"/>
          <w:color w:val="000000"/>
          <w:sz w:val="18"/>
          <w:szCs w:val="18"/>
        </w:rPr>
        <w:t>Ahra Cho, DPM</w:t>
      </w:r>
      <w:r>
        <w:rPr>
          <w:rFonts w:ascii="Arial" w:eastAsia="Arial" w:hAnsi="Arial" w:cs="Arial"/>
          <w:i/>
          <w:iCs/>
          <w:sz w:val="18"/>
          <w:szCs w:val="18"/>
        </w:rPr>
        <w:t>‡</w:t>
      </w:r>
    </w:p>
    <w:p w14:paraId="13FFF308" w14:textId="67E9E30E" w:rsidR="00AF5F65" w:rsidRDefault="00A360B8">
      <w:r>
        <w:rPr>
          <w:rFonts w:ascii="Arial" w:eastAsia="Arial" w:hAnsi="Arial" w:cs="Arial"/>
          <w:color w:val="444444"/>
          <w:sz w:val="18"/>
          <w:szCs w:val="18"/>
        </w:rPr>
        <w:t>Julie Y. Lin, DPM</w:t>
      </w:r>
    </w:p>
    <w:p w14:paraId="5D1B2B35" w14:textId="57F8EF97" w:rsidR="00AF5F65" w:rsidRDefault="00A360B8">
      <w:pPr>
        <w:spacing w:before="180" w:after="60"/>
      </w:pPr>
      <w:r>
        <w:rPr>
          <w:rFonts w:ascii="Arial" w:eastAsia="Arial" w:hAnsi="Arial" w:cs="Arial"/>
          <w:b/>
          <w:bCs/>
          <w:color w:val="000000"/>
        </w:rPr>
        <w:t>46. Vasopressor-Induced Ischemia of the Lower Extremity: A Rare but Devastating Complication</w:t>
      </w:r>
    </w:p>
    <w:p w14:paraId="76557E05" w14:textId="1B5B14B6" w:rsidR="00AF5F65" w:rsidRDefault="00A360B8">
      <w:r>
        <w:rPr>
          <w:rFonts w:ascii="Arial" w:eastAsia="Arial" w:hAnsi="Arial" w:cs="Arial"/>
          <w:color w:val="000000"/>
          <w:sz w:val="18"/>
          <w:szCs w:val="18"/>
        </w:rPr>
        <w:t>Hojin Lee, DPM</w:t>
      </w:r>
      <w:r>
        <w:rPr>
          <w:rFonts w:ascii="Arial" w:eastAsia="Arial" w:hAnsi="Arial" w:cs="Arial"/>
          <w:i/>
          <w:iCs/>
          <w:sz w:val="18"/>
          <w:szCs w:val="18"/>
        </w:rPr>
        <w:t>‡</w:t>
      </w:r>
    </w:p>
    <w:p w14:paraId="48D089FD" w14:textId="77777777" w:rsidR="00AF5F65" w:rsidRDefault="00A360B8">
      <w:r>
        <w:rPr>
          <w:rFonts w:ascii="Arial" w:eastAsia="Arial" w:hAnsi="Arial" w:cs="Arial"/>
          <w:color w:val="444444"/>
          <w:sz w:val="18"/>
          <w:szCs w:val="18"/>
        </w:rPr>
        <w:t>Alton R. Johnson Jr., DPM</w:t>
      </w:r>
    </w:p>
    <w:p w14:paraId="034A98A3" w14:textId="77777777" w:rsidR="00AF5F65" w:rsidRDefault="00A360B8">
      <w:pPr>
        <w:pBdr>
          <w:bottom w:val="single" w:sz="8" w:space="4" w:color="2E75B6"/>
        </w:pBdr>
        <w:spacing w:before="280" w:after="100"/>
      </w:pPr>
      <w:r>
        <w:rPr>
          <w:rFonts w:ascii="Arial" w:eastAsia="Arial" w:hAnsi="Arial" w:cs="Arial"/>
          <w:b/>
          <w:bCs/>
          <w:sz w:val="26"/>
          <w:szCs w:val="26"/>
        </w:rPr>
        <w:t>Single Case Study or Small Case/Series</w:t>
      </w:r>
    </w:p>
    <w:p w14:paraId="5FCE6401" w14:textId="6AF3BA29" w:rsidR="00AF5F65" w:rsidRDefault="00A360B8">
      <w:pPr>
        <w:spacing w:before="180" w:after="60"/>
      </w:pPr>
      <w:r>
        <w:rPr>
          <w:rFonts w:ascii="Arial" w:eastAsia="Arial" w:hAnsi="Arial" w:cs="Arial"/>
          <w:b/>
          <w:bCs/>
          <w:color w:val="000000"/>
        </w:rPr>
        <w:t>47. 3D-Printed Truss/Spacer for Severe Hindfoot Charcot Reconstruction with Segmental Bone Loss: A Case Report</w:t>
      </w:r>
    </w:p>
    <w:p w14:paraId="0BDF5C73" w14:textId="0BBA1F8C" w:rsidR="00AF5F65" w:rsidRDefault="00A360B8">
      <w:r>
        <w:rPr>
          <w:rFonts w:ascii="Arial" w:eastAsia="Arial" w:hAnsi="Arial" w:cs="Arial"/>
          <w:color w:val="000000"/>
          <w:sz w:val="18"/>
          <w:szCs w:val="18"/>
        </w:rPr>
        <w:t>Jeffrey Loveland, DPM</w:t>
      </w:r>
      <w:r>
        <w:rPr>
          <w:rFonts w:ascii="Arial" w:eastAsia="Arial" w:hAnsi="Arial" w:cs="Arial"/>
          <w:i/>
          <w:iCs/>
          <w:sz w:val="18"/>
          <w:szCs w:val="18"/>
        </w:rPr>
        <w:t>†</w:t>
      </w:r>
    </w:p>
    <w:p w14:paraId="12EA6958" w14:textId="77777777" w:rsidR="00AF5F65" w:rsidRDefault="00A360B8">
      <w:r>
        <w:rPr>
          <w:rFonts w:ascii="Arial" w:eastAsia="Arial" w:hAnsi="Arial" w:cs="Arial"/>
          <w:color w:val="444444"/>
          <w:sz w:val="18"/>
          <w:szCs w:val="18"/>
        </w:rPr>
        <w:t>Talem Franco, DPM</w:t>
      </w:r>
    </w:p>
    <w:p w14:paraId="45D805F9" w14:textId="77777777" w:rsidR="00AF5F65" w:rsidRDefault="00A360B8">
      <w:r>
        <w:rPr>
          <w:rFonts w:ascii="Arial" w:eastAsia="Arial" w:hAnsi="Arial" w:cs="Arial"/>
          <w:color w:val="444444"/>
          <w:sz w:val="18"/>
          <w:szCs w:val="18"/>
        </w:rPr>
        <w:t>Eva Loveland</w:t>
      </w:r>
    </w:p>
    <w:p w14:paraId="0B69F35B" w14:textId="1E23EDB7" w:rsidR="00AF5F65" w:rsidRDefault="00A360B8">
      <w:pPr>
        <w:spacing w:before="180" w:after="60"/>
      </w:pPr>
      <w:r>
        <w:rPr>
          <w:rFonts w:ascii="Arial" w:eastAsia="Arial" w:hAnsi="Arial" w:cs="Arial"/>
          <w:b/>
          <w:bCs/>
          <w:color w:val="000000"/>
        </w:rPr>
        <w:t>48. Case Presentation of Non-Infectious Soft Tissue Emphysema in a 54 y/o Diabetic Patient</w:t>
      </w:r>
    </w:p>
    <w:p w14:paraId="7AA9B1FD" w14:textId="33F31024" w:rsidR="00AF5F65" w:rsidRDefault="00A360B8">
      <w:r>
        <w:rPr>
          <w:rFonts w:ascii="Arial" w:eastAsia="Arial" w:hAnsi="Arial" w:cs="Arial"/>
          <w:color w:val="000000"/>
          <w:sz w:val="18"/>
          <w:szCs w:val="18"/>
        </w:rPr>
        <w:t>Brady Stewart-Chester, DPM</w:t>
      </w:r>
      <w:r>
        <w:rPr>
          <w:rFonts w:ascii="Arial" w:eastAsia="Arial" w:hAnsi="Arial" w:cs="Arial"/>
          <w:i/>
          <w:iCs/>
          <w:sz w:val="18"/>
          <w:szCs w:val="18"/>
        </w:rPr>
        <w:t>†</w:t>
      </w:r>
    </w:p>
    <w:p w14:paraId="5B1E1F22" w14:textId="52DDB31F" w:rsidR="00AF5F65" w:rsidRDefault="00A360B8">
      <w:pPr>
        <w:spacing w:before="180" w:after="60"/>
      </w:pPr>
      <w:r>
        <w:rPr>
          <w:rFonts w:ascii="Arial" w:eastAsia="Arial" w:hAnsi="Arial" w:cs="Arial"/>
          <w:b/>
          <w:bCs/>
          <w:color w:val="000000"/>
        </w:rPr>
        <w:t>49. A Comparative Study of Semmes-Weinstein Monofilament and Dynamic Neuroscreening Device in Detection of Early Diabetic Neuropathy</w:t>
      </w:r>
    </w:p>
    <w:p w14:paraId="2D9D4EAB" w14:textId="36B8CC85" w:rsidR="00AF5F65" w:rsidRDefault="00A360B8">
      <w:r>
        <w:rPr>
          <w:rFonts w:ascii="Arial" w:eastAsia="Arial" w:hAnsi="Arial" w:cs="Arial"/>
          <w:color w:val="000000"/>
          <w:sz w:val="18"/>
          <w:szCs w:val="18"/>
        </w:rPr>
        <w:t>Jean T. Chen-Vitulli, DPM, MS</w:t>
      </w:r>
      <w:r>
        <w:rPr>
          <w:rFonts w:ascii="Arial" w:eastAsia="Arial" w:hAnsi="Arial" w:cs="Arial"/>
          <w:i/>
          <w:iCs/>
          <w:sz w:val="18"/>
          <w:szCs w:val="18"/>
        </w:rPr>
        <w:t>†</w:t>
      </w:r>
    </w:p>
    <w:p w14:paraId="06DFBE81" w14:textId="77777777" w:rsidR="00AF5F65" w:rsidRPr="00D51F20" w:rsidRDefault="00A360B8">
      <w:pPr>
        <w:rPr>
          <w:lang w:val="es-ES"/>
        </w:rPr>
      </w:pPr>
      <w:r>
        <w:rPr>
          <w:rFonts w:ascii="Arial" w:eastAsia="Arial" w:hAnsi="Arial" w:cs="Arial"/>
          <w:color w:val="444444"/>
          <w:sz w:val="18"/>
          <w:szCs w:val="18"/>
          <w:lang w:val="es-ES"/>
        </w:rPr>
        <w:t>Anthony Iorio, DPM</w:t>
      </w:r>
    </w:p>
    <w:p w14:paraId="509C202C" w14:textId="77777777" w:rsidR="00AF5F65" w:rsidRPr="00D51F20" w:rsidRDefault="00A360B8">
      <w:pPr>
        <w:rPr>
          <w:lang w:val="es-ES"/>
        </w:rPr>
      </w:pPr>
      <w:r>
        <w:rPr>
          <w:rFonts w:ascii="Arial" w:eastAsia="Arial" w:hAnsi="Arial" w:cs="Arial"/>
          <w:color w:val="444444"/>
          <w:sz w:val="18"/>
          <w:szCs w:val="18"/>
          <w:lang w:val="es-ES"/>
        </w:rPr>
        <w:t>Anastasios Manessis, MD</w:t>
      </w:r>
    </w:p>
    <w:p w14:paraId="108B1280" w14:textId="0B003B4D" w:rsidR="00AF5F65" w:rsidRDefault="00A360B8">
      <w:pPr>
        <w:spacing w:before="180" w:after="60"/>
      </w:pPr>
      <w:r>
        <w:rPr>
          <w:rFonts w:ascii="Arial" w:eastAsia="Arial" w:hAnsi="Arial" w:cs="Arial"/>
          <w:b/>
          <w:bCs/>
          <w:color w:val="000000"/>
        </w:rPr>
        <w:t>50. Early Identification and Intervention in Lower Extremity Wounds: Applying BIOMES℠ and the Wound Balance Framework to Guide Use of SAP Dressings</w:t>
      </w:r>
    </w:p>
    <w:p w14:paraId="42517C29" w14:textId="6971C9E9" w:rsidR="00AF5F65" w:rsidRDefault="00A360B8">
      <w:r>
        <w:rPr>
          <w:rFonts w:ascii="Arial" w:eastAsia="Arial" w:hAnsi="Arial" w:cs="Arial"/>
          <w:color w:val="000000"/>
          <w:sz w:val="18"/>
          <w:szCs w:val="18"/>
        </w:rPr>
        <w:t>Alton R. Johnson Jr., DPM</w:t>
      </w:r>
      <w:r>
        <w:rPr>
          <w:rFonts w:ascii="Arial" w:eastAsia="Arial" w:hAnsi="Arial" w:cs="Arial"/>
          <w:i/>
          <w:iCs/>
          <w:sz w:val="18"/>
          <w:szCs w:val="18"/>
        </w:rPr>
        <w:t>†</w:t>
      </w:r>
    </w:p>
    <w:p w14:paraId="4B150B8F" w14:textId="1AF825FF" w:rsidR="00AF5F65" w:rsidRDefault="00A360B8">
      <w:pPr>
        <w:spacing w:before="180" w:after="60"/>
      </w:pPr>
      <w:r>
        <w:rPr>
          <w:rFonts w:ascii="Arial" w:eastAsia="Arial" w:hAnsi="Arial" w:cs="Arial"/>
          <w:b/>
          <w:bCs/>
          <w:color w:val="000000"/>
        </w:rPr>
        <w:t>51. Is it Really a Callus? A Case Report of a Missed Angiosarcoma</w:t>
      </w:r>
    </w:p>
    <w:p w14:paraId="01693E8D" w14:textId="4615822B" w:rsidR="00AF5F65" w:rsidRDefault="00A360B8">
      <w:r>
        <w:rPr>
          <w:rFonts w:ascii="Arial" w:eastAsia="Arial" w:hAnsi="Arial" w:cs="Arial"/>
          <w:color w:val="000000"/>
          <w:sz w:val="18"/>
          <w:szCs w:val="18"/>
        </w:rPr>
        <w:t>Stephanie Behme, DPM</w:t>
      </w:r>
      <w:r>
        <w:rPr>
          <w:rFonts w:ascii="Arial" w:eastAsia="Arial" w:hAnsi="Arial" w:cs="Arial"/>
          <w:i/>
          <w:iCs/>
          <w:sz w:val="18"/>
          <w:szCs w:val="18"/>
        </w:rPr>
        <w:t>†</w:t>
      </w:r>
    </w:p>
    <w:p w14:paraId="3D915348" w14:textId="77777777" w:rsidR="00AF5F65" w:rsidRDefault="00A360B8">
      <w:r>
        <w:rPr>
          <w:rFonts w:ascii="Arial" w:eastAsia="Arial" w:hAnsi="Arial" w:cs="Arial"/>
          <w:color w:val="444444"/>
          <w:sz w:val="18"/>
          <w:szCs w:val="18"/>
        </w:rPr>
        <w:t>Christopher Girgis, DPM</w:t>
      </w:r>
    </w:p>
    <w:p w14:paraId="0B34C382" w14:textId="77777777" w:rsidR="00AF5F65" w:rsidRDefault="00A360B8">
      <w:r>
        <w:rPr>
          <w:rFonts w:ascii="Arial" w:eastAsia="Arial" w:hAnsi="Arial" w:cs="Arial"/>
          <w:color w:val="444444"/>
          <w:sz w:val="18"/>
          <w:szCs w:val="18"/>
        </w:rPr>
        <w:t>Vishagan Karthikeyan</w:t>
      </w:r>
    </w:p>
    <w:p w14:paraId="023D02B6" w14:textId="612D02DB" w:rsidR="00AF5F65" w:rsidRDefault="00A360B8">
      <w:pPr>
        <w:spacing w:before="180" w:after="60"/>
      </w:pPr>
      <w:r>
        <w:rPr>
          <w:rFonts w:ascii="Arial" w:eastAsia="Arial" w:hAnsi="Arial" w:cs="Arial"/>
          <w:b/>
          <w:bCs/>
          <w:color w:val="000000"/>
        </w:rPr>
        <w:t>52. Observational Study of a Social Media–Based Walking Support Group and Ambulatory Outcomes in Peripheral Arterial Disease</w:t>
      </w:r>
    </w:p>
    <w:p w14:paraId="799DA13B" w14:textId="51DEEFC5" w:rsidR="00AF5F65" w:rsidRDefault="00A360B8">
      <w:r>
        <w:rPr>
          <w:rFonts w:ascii="Arial" w:eastAsia="Arial" w:hAnsi="Arial" w:cs="Arial"/>
          <w:color w:val="000000"/>
          <w:sz w:val="18"/>
          <w:szCs w:val="18"/>
        </w:rPr>
        <w:lastRenderedPageBreak/>
        <w:t>Jean T. Chen-Vitulli, DPM, MS</w:t>
      </w:r>
      <w:r>
        <w:rPr>
          <w:rFonts w:ascii="Arial" w:eastAsia="Arial" w:hAnsi="Arial" w:cs="Arial"/>
          <w:i/>
          <w:iCs/>
          <w:sz w:val="18"/>
          <w:szCs w:val="18"/>
        </w:rPr>
        <w:t>†</w:t>
      </w:r>
    </w:p>
    <w:p w14:paraId="2F3F5F94" w14:textId="77777777" w:rsidR="00AF5F65" w:rsidRDefault="00A360B8">
      <w:r>
        <w:rPr>
          <w:rFonts w:ascii="Arial" w:eastAsia="Arial" w:hAnsi="Arial" w:cs="Arial"/>
          <w:color w:val="444444"/>
          <w:sz w:val="18"/>
          <w:szCs w:val="18"/>
        </w:rPr>
        <w:t>Anastasios Manessis, MD</w:t>
      </w:r>
    </w:p>
    <w:p w14:paraId="2D428702" w14:textId="1AC699F0" w:rsidR="00AF5F65" w:rsidRDefault="00A360B8">
      <w:pPr>
        <w:spacing w:before="180" w:after="60"/>
      </w:pPr>
      <w:r>
        <w:rPr>
          <w:rFonts w:ascii="Arial" w:eastAsia="Arial" w:hAnsi="Arial" w:cs="Arial"/>
          <w:b/>
          <w:bCs/>
          <w:color w:val="000000"/>
        </w:rPr>
        <w:t>53. Overdiagnosis of Metatarsus Adductus in Bilateral Foot Radiographs</w:t>
      </w:r>
    </w:p>
    <w:p w14:paraId="6C423430" w14:textId="15B26144" w:rsidR="00AF5F65" w:rsidRDefault="00A360B8">
      <w:r>
        <w:rPr>
          <w:rFonts w:ascii="Arial" w:eastAsia="Arial" w:hAnsi="Arial" w:cs="Arial"/>
          <w:color w:val="000000"/>
          <w:sz w:val="18"/>
          <w:szCs w:val="18"/>
        </w:rPr>
        <w:t>Kelly J. John, DPM, MHA</w:t>
      </w:r>
      <w:r>
        <w:rPr>
          <w:rFonts w:ascii="Arial" w:eastAsia="Arial" w:hAnsi="Arial" w:cs="Arial"/>
          <w:i/>
          <w:iCs/>
          <w:sz w:val="18"/>
          <w:szCs w:val="18"/>
        </w:rPr>
        <w:t>†</w:t>
      </w:r>
    </w:p>
    <w:p w14:paraId="42D8F4D2" w14:textId="77777777" w:rsidR="00AF5F65" w:rsidRDefault="00A360B8">
      <w:r>
        <w:rPr>
          <w:rFonts w:ascii="Arial" w:eastAsia="Arial" w:hAnsi="Arial" w:cs="Arial"/>
          <w:color w:val="444444"/>
          <w:sz w:val="18"/>
          <w:szCs w:val="18"/>
        </w:rPr>
        <w:t>Richard A. Gomez</w:t>
      </w:r>
    </w:p>
    <w:p w14:paraId="1834FEF9" w14:textId="77777777" w:rsidR="00AF5F65" w:rsidRDefault="00A360B8">
      <w:r>
        <w:rPr>
          <w:rFonts w:ascii="Arial" w:eastAsia="Arial" w:hAnsi="Arial" w:cs="Arial"/>
          <w:color w:val="444444"/>
          <w:sz w:val="18"/>
          <w:szCs w:val="18"/>
        </w:rPr>
        <w:t>Zachary D. Katzman</w:t>
      </w:r>
    </w:p>
    <w:p w14:paraId="44265266" w14:textId="17EA9B6C" w:rsidR="00AF5F65" w:rsidRDefault="00A360B8">
      <w:r>
        <w:rPr>
          <w:rFonts w:ascii="Arial" w:eastAsia="Arial" w:hAnsi="Arial" w:cs="Arial"/>
          <w:color w:val="444444"/>
          <w:sz w:val="18"/>
          <w:szCs w:val="18"/>
        </w:rPr>
        <w:t>Alex T. Ngo, MS</w:t>
      </w:r>
    </w:p>
    <w:p w14:paraId="0D33F8E3" w14:textId="77777777" w:rsidR="00AF5F65" w:rsidRDefault="00A360B8">
      <w:r>
        <w:rPr>
          <w:rFonts w:ascii="Arial" w:eastAsia="Arial" w:hAnsi="Arial" w:cs="Arial"/>
          <w:color w:val="444444"/>
          <w:sz w:val="18"/>
          <w:szCs w:val="18"/>
        </w:rPr>
        <w:t>Stephanie L. Schuster</w:t>
      </w:r>
    </w:p>
    <w:p w14:paraId="1DDFCA2C" w14:textId="07C831CF" w:rsidR="00AF5F65" w:rsidRDefault="00A360B8">
      <w:pPr>
        <w:spacing w:before="180" w:after="60"/>
      </w:pPr>
      <w:r>
        <w:rPr>
          <w:rFonts w:ascii="Arial" w:eastAsia="Arial" w:hAnsi="Arial" w:cs="Arial"/>
          <w:b/>
          <w:bCs/>
          <w:color w:val="000000"/>
        </w:rPr>
        <w:t>54. Pedal Squamous Cell Carcinoma: A Case Study</w:t>
      </w:r>
    </w:p>
    <w:p w14:paraId="2D5BCC2F" w14:textId="7334CE02" w:rsidR="00AF5F65" w:rsidRDefault="00A360B8">
      <w:r>
        <w:rPr>
          <w:rFonts w:ascii="Arial" w:eastAsia="Arial" w:hAnsi="Arial" w:cs="Arial"/>
          <w:color w:val="000000"/>
          <w:sz w:val="18"/>
          <w:szCs w:val="18"/>
        </w:rPr>
        <w:t>Muhammad Abdulla, DPM</w:t>
      </w:r>
      <w:r>
        <w:rPr>
          <w:rFonts w:ascii="Arial" w:eastAsia="Arial" w:hAnsi="Arial" w:cs="Arial"/>
          <w:i/>
          <w:iCs/>
          <w:sz w:val="18"/>
          <w:szCs w:val="18"/>
        </w:rPr>
        <w:t>‡</w:t>
      </w:r>
    </w:p>
    <w:p w14:paraId="35B4E484" w14:textId="77777777" w:rsidR="00AF5F65" w:rsidRDefault="00A360B8">
      <w:r>
        <w:rPr>
          <w:rFonts w:ascii="Arial" w:eastAsia="Arial" w:hAnsi="Arial" w:cs="Arial"/>
          <w:color w:val="444444"/>
          <w:sz w:val="18"/>
          <w:szCs w:val="18"/>
        </w:rPr>
        <w:t>Barry Bernstein, DPM</w:t>
      </w:r>
    </w:p>
    <w:p w14:paraId="77AF73B1" w14:textId="02410773" w:rsidR="00AF5F65" w:rsidRDefault="00A360B8">
      <w:pPr>
        <w:spacing w:before="180" w:after="60"/>
      </w:pPr>
      <w:r>
        <w:rPr>
          <w:rFonts w:ascii="Arial" w:eastAsia="Arial" w:hAnsi="Arial" w:cs="Arial"/>
          <w:b/>
          <w:bCs/>
          <w:color w:val="000000"/>
        </w:rPr>
        <w:t>55. Retrospective Case Review of the Use of Skin Substitute for 2 Different Indications Along with Split Thickness Skin Graft and Transmetatarsal Amputation in Limb Salvage From Necrotizing Fasciitis in the Foot and Ankle</w:t>
      </w:r>
    </w:p>
    <w:p w14:paraId="20F6420B" w14:textId="26D1634D" w:rsidR="00AF5F65" w:rsidRDefault="00A360B8">
      <w:r>
        <w:rPr>
          <w:rFonts w:ascii="Arial" w:eastAsia="Arial" w:hAnsi="Arial" w:cs="Arial"/>
          <w:color w:val="000000"/>
          <w:sz w:val="18"/>
          <w:szCs w:val="18"/>
        </w:rPr>
        <w:t>Shawn Braunagel, DPM</w:t>
      </w:r>
      <w:r>
        <w:rPr>
          <w:rFonts w:ascii="Arial" w:eastAsia="Arial" w:hAnsi="Arial" w:cs="Arial"/>
          <w:i/>
          <w:iCs/>
          <w:sz w:val="18"/>
          <w:szCs w:val="18"/>
        </w:rPr>
        <w:t>†</w:t>
      </w:r>
    </w:p>
    <w:p w14:paraId="22505379" w14:textId="5B56BA5B" w:rsidR="00AF5F65" w:rsidRDefault="00A360B8">
      <w:pPr>
        <w:spacing w:before="180" w:after="60"/>
      </w:pPr>
      <w:r>
        <w:rPr>
          <w:rFonts w:ascii="Arial" w:eastAsia="Arial" w:hAnsi="Arial" w:cs="Arial"/>
          <w:b/>
          <w:bCs/>
          <w:color w:val="000000"/>
        </w:rPr>
        <w:t>56. The Use of Novel Synthetic Co-Polymer to Assist in the Repair of Acute Achilles Tendon Ruptures</w:t>
      </w:r>
    </w:p>
    <w:p w14:paraId="7E9F1AA0" w14:textId="634289F0" w:rsidR="00AF5F65" w:rsidRDefault="00A360B8">
      <w:r>
        <w:rPr>
          <w:rFonts w:ascii="Arial" w:eastAsia="Arial" w:hAnsi="Arial" w:cs="Arial"/>
          <w:color w:val="000000"/>
          <w:sz w:val="18"/>
          <w:szCs w:val="18"/>
        </w:rPr>
        <w:t>Jeffrey Loveland, DPM</w:t>
      </w:r>
      <w:r>
        <w:rPr>
          <w:rFonts w:ascii="Arial" w:eastAsia="Arial" w:hAnsi="Arial" w:cs="Arial"/>
          <w:i/>
          <w:iCs/>
          <w:sz w:val="18"/>
          <w:szCs w:val="18"/>
        </w:rPr>
        <w:t>†</w:t>
      </w:r>
    </w:p>
    <w:p w14:paraId="38CD6BE1" w14:textId="77777777" w:rsidR="00AF5F65" w:rsidRDefault="00A360B8">
      <w:r>
        <w:rPr>
          <w:rFonts w:ascii="Arial" w:eastAsia="Arial" w:hAnsi="Arial" w:cs="Arial"/>
          <w:color w:val="444444"/>
          <w:sz w:val="18"/>
          <w:szCs w:val="18"/>
        </w:rPr>
        <w:t>Robert Erickson, DPM</w:t>
      </w:r>
    </w:p>
    <w:p w14:paraId="3BB0650A" w14:textId="77777777" w:rsidR="00AF5F65" w:rsidRDefault="00A360B8">
      <w:r>
        <w:rPr>
          <w:rFonts w:ascii="Arial" w:eastAsia="Arial" w:hAnsi="Arial" w:cs="Arial"/>
          <w:color w:val="444444"/>
          <w:sz w:val="18"/>
          <w:szCs w:val="18"/>
        </w:rPr>
        <w:t>Talem Franco, DPM</w:t>
      </w:r>
    </w:p>
    <w:p w14:paraId="7921035A" w14:textId="77777777" w:rsidR="00AF5F65" w:rsidRPr="001F0AFE" w:rsidRDefault="00A360B8">
      <w:pPr>
        <w:pBdr>
          <w:bottom w:val="single" w:sz="8" w:space="4" w:color="2E75B6"/>
        </w:pBdr>
        <w:spacing w:before="280" w:after="100"/>
      </w:pPr>
      <w:r>
        <w:rPr>
          <w:rFonts w:ascii="Arial" w:eastAsia="Arial" w:hAnsi="Arial" w:cs="Arial"/>
          <w:b/>
          <w:bCs/>
          <w:sz w:val="26"/>
          <w:szCs w:val="26"/>
        </w:rPr>
        <w:t>Student</w:t>
      </w:r>
    </w:p>
    <w:p w14:paraId="028A81EB" w14:textId="0C5EDBD7" w:rsidR="00AF5F65" w:rsidRDefault="00A360B8">
      <w:pPr>
        <w:spacing w:before="180" w:after="60"/>
      </w:pPr>
      <w:r>
        <w:rPr>
          <w:rFonts w:ascii="Arial" w:eastAsia="Arial" w:hAnsi="Arial" w:cs="Arial"/>
          <w:b/>
          <w:bCs/>
          <w:color w:val="000000"/>
        </w:rPr>
        <w:t>57. 3D-Printed Patient-Specific Guides &amp; Total Navicular Replacement in Diabetic Charcot Midfoot Reconstruction: Two Cases Utilizing 3D-Printed Devices</w:t>
      </w:r>
    </w:p>
    <w:p w14:paraId="16A6CF58" w14:textId="55E507F9" w:rsidR="00AF5F65" w:rsidRDefault="00A360B8">
      <w:r>
        <w:rPr>
          <w:rFonts w:ascii="Arial" w:eastAsia="Arial" w:hAnsi="Arial" w:cs="Arial"/>
          <w:color w:val="000000"/>
          <w:sz w:val="18"/>
          <w:szCs w:val="18"/>
        </w:rPr>
        <w:t>Aleem Sholakh</w:t>
      </w:r>
      <w:r>
        <w:rPr>
          <w:rFonts w:ascii="Arial" w:eastAsia="Arial" w:hAnsi="Arial" w:cs="Arial"/>
          <w:i/>
          <w:iCs/>
          <w:sz w:val="18"/>
          <w:szCs w:val="18"/>
        </w:rPr>
        <w:t>‡</w:t>
      </w:r>
    </w:p>
    <w:p w14:paraId="186D1494" w14:textId="77777777" w:rsidR="00AF5F65" w:rsidRDefault="00A360B8">
      <w:r>
        <w:rPr>
          <w:rFonts w:ascii="Arial" w:eastAsia="Arial" w:hAnsi="Arial" w:cs="Arial"/>
          <w:color w:val="444444"/>
          <w:sz w:val="18"/>
          <w:szCs w:val="18"/>
        </w:rPr>
        <w:t>Karam Daoud, PhD</w:t>
      </w:r>
    </w:p>
    <w:p w14:paraId="2BBB1F53" w14:textId="77777777" w:rsidR="00AF5F65" w:rsidRDefault="00A360B8">
      <w:r>
        <w:rPr>
          <w:rFonts w:ascii="Arial" w:eastAsia="Arial" w:hAnsi="Arial" w:cs="Arial"/>
          <w:color w:val="444444"/>
          <w:sz w:val="18"/>
          <w:szCs w:val="18"/>
        </w:rPr>
        <w:t>Dalon Paredes, DPM</w:t>
      </w:r>
    </w:p>
    <w:p w14:paraId="44AD7769" w14:textId="77777777" w:rsidR="00AF5F65" w:rsidRDefault="00A360B8">
      <w:r>
        <w:rPr>
          <w:rFonts w:ascii="Arial" w:eastAsia="Arial" w:hAnsi="Arial" w:cs="Arial"/>
          <w:color w:val="444444"/>
          <w:sz w:val="18"/>
          <w:szCs w:val="18"/>
        </w:rPr>
        <w:t>Natasha Sholakh, MBA</w:t>
      </w:r>
    </w:p>
    <w:p w14:paraId="4DCAE331" w14:textId="31BB0552" w:rsidR="00AF5F65" w:rsidRDefault="00A360B8">
      <w:pPr>
        <w:spacing w:before="180" w:after="60"/>
      </w:pPr>
      <w:r>
        <w:rPr>
          <w:rFonts w:ascii="Arial" w:eastAsia="Arial" w:hAnsi="Arial" w:cs="Arial"/>
          <w:b/>
          <w:bCs/>
          <w:color w:val="000000"/>
        </w:rPr>
        <w:t>58. Analysis of Conservative Management of Talocalcaneal Tarsal Coalition with Various Combinations of Custom Orthotics and Shoe Designs via Dynamic Peak Pressure Measurement and Patient Survey</w:t>
      </w:r>
    </w:p>
    <w:p w14:paraId="7B7AA5CA" w14:textId="4E6FAD21" w:rsidR="00AF5F65" w:rsidRDefault="00A360B8">
      <w:r>
        <w:rPr>
          <w:rFonts w:ascii="Arial" w:eastAsia="Arial" w:hAnsi="Arial" w:cs="Arial"/>
          <w:color w:val="000000"/>
          <w:sz w:val="18"/>
          <w:szCs w:val="18"/>
        </w:rPr>
        <w:t>Sahil Kapadia</w:t>
      </w:r>
      <w:r>
        <w:rPr>
          <w:rFonts w:ascii="Arial" w:eastAsia="Arial" w:hAnsi="Arial" w:cs="Arial"/>
          <w:i/>
          <w:iCs/>
          <w:sz w:val="18"/>
          <w:szCs w:val="18"/>
        </w:rPr>
        <w:t>‡</w:t>
      </w:r>
    </w:p>
    <w:p w14:paraId="2B37322A" w14:textId="77777777" w:rsidR="00AF5F65" w:rsidRDefault="00A360B8">
      <w:r>
        <w:rPr>
          <w:rFonts w:ascii="Arial" w:eastAsia="Arial" w:hAnsi="Arial" w:cs="Arial"/>
          <w:color w:val="444444"/>
          <w:sz w:val="18"/>
          <w:szCs w:val="18"/>
        </w:rPr>
        <w:t>Posi Asaolu</w:t>
      </w:r>
    </w:p>
    <w:p w14:paraId="7F8C51CA" w14:textId="77777777" w:rsidR="00AF5F65" w:rsidRDefault="00A360B8">
      <w:r>
        <w:rPr>
          <w:rFonts w:ascii="Arial" w:eastAsia="Arial" w:hAnsi="Arial" w:cs="Arial"/>
          <w:color w:val="444444"/>
          <w:sz w:val="18"/>
          <w:szCs w:val="18"/>
        </w:rPr>
        <w:t>Jinsup Song, DPM</w:t>
      </w:r>
    </w:p>
    <w:p w14:paraId="452ABF19" w14:textId="438E6B76" w:rsidR="00AF5F65" w:rsidRDefault="00A360B8">
      <w:pPr>
        <w:spacing w:before="180" w:after="60"/>
      </w:pPr>
      <w:r>
        <w:rPr>
          <w:rFonts w:ascii="Arial" w:eastAsia="Arial" w:hAnsi="Arial" w:cs="Arial"/>
          <w:b/>
          <w:bCs/>
          <w:color w:val="000000"/>
        </w:rPr>
        <w:t>59. Ankle Nodules From the Garden: Cutaneous Sporotrichosis in a Lawn-Care Worker With Resolution After Early Itraconazole</w:t>
      </w:r>
    </w:p>
    <w:p w14:paraId="13F200B8" w14:textId="2D51BB62" w:rsidR="00AF5F65" w:rsidRPr="00D51F20" w:rsidRDefault="00A360B8">
      <w:pPr>
        <w:rPr>
          <w:lang w:val="es-ES"/>
        </w:rPr>
      </w:pPr>
      <w:r>
        <w:rPr>
          <w:rFonts w:ascii="Arial" w:eastAsia="Arial" w:hAnsi="Arial" w:cs="Arial"/>
          <w:color w:val="000000"/>
          <w:sz w:val="18"/>
          <w:szCs w:val="18"/>
          <w:lang w:val="es-ES"/>
        </w:rPr>
        <w:t>Megan Yeung, MBS</w:t>
      </w:r>
      <w:r>
        <w:rPr>
          <w:rFonts w:ascii="Arial" w:eastAsia="Arial" w:hAnsi="Arial" w:cs="Arial"/>
          <w:i/>
          <w:iCs/>
          <w:sz w:val="18"/>
          <w:szCs w:val="18"/>
          <w:lang w:val="es-ES"/>
        </w:rPr>
        <w:t>‡</w:t>
      </w:r>
    </w:p>
    <w:p w14:paraId="46125621" w14:textId="77777777" w:rsidR="00AF5F65" w:rsidRPr="00D51F20" w:rsidRDefault="00A360B8">
      <w:pPr>
        <w:rPr>
          <w:lang w:val="es-ES"/>
        </w:rPr>
      </w:pPr>
      <w:r>
        <w:rPr>
          <w:rFonts w:ascii="Arial" w:eastAsia="Arial" w:hAnsi="Arial" w:cs="Arial"/>
          <w:color w:val="444444"/>
          <w:sz w:val="18"/>
          <w:szCs w:val="18"/>
          <w:lang w:val="es-ES"/>
        </w:rPr>
        <w:t>Toluwani Adenuga, MBS</w:t>
      </w:r>
    </w:p>
    <w:p w14:paraId="487F0E2C" w14:textId="77777777" w:rsidR="00AF5F65" w:rsidRPr="00D51F20" w:rsidRDefault="00A360B8">
      <w:pPr>
        <w:rPr>
          <w:lang w:val="es-ES"/>
        </w:rPr>
      </w:pPr>
      <w:r>
        <w:rPr>
          <w:rFonts w:ascii="Arial" w:eastAsia="Arial" w:hAnsi="Arial" w:cs="Arial"/>
          <w:color w:val="444444"/>
          <w:sz w:val="18"/>
          <w:szCs w:val="18"/>
          <w:lang w:val="es-ES"/>
        </w:rPr>
        <w:t>Samuel Birman</w:t>
      </w:r>
    </w:p>
    <w:p w14:paraId="4D4F9430" w14:textId="5D12A004" w:rsidR="00AF5F65" w:rsidRPr="00D51F20" w:rsidRDefault="00A360B8">
      <w:pPr>
        <w:rPr>
          <w:lang w:val="es-ES"/>
        </w:rPr>
      </w:pPr>
      <w:r>
        <w:rPr>
          <w:rFonts w:ascii="Arial" w:eastAsia="Arial" w:hAnsi="Arial" w:cs="Arial"/>
          <w:color w:val="444444"/>
          <w:sz w:val="18"/>
          <w:szCs w:val="18"/>
          <w:lang w:val="es-ES"/>
        </w:rPr>
        <w:t>Enrique Rosario Aloma, DPM, PhD</w:t>
      </w:r>
    </w:p>
    <w:p w14:paraId="00F4C5FD" w14:textId="06CB0CE5" w:rsidR="00AF5F65" w:rsidRDefault="00A360B8">
      <w:pPr>
        <w:spacing w:before="180" w:after="60"/>
      </w:pPr>
      <w:r>
        <w:rPr>
          <w:rFonts w:ascii="Arial" w:eastAsia="Arial" w:hAnsi="Arial" w:cs="Arial"/>
          <w:b/>
          <w:bCs/>
          <w:color w:val="000000"/>
        </w:rPr>
        <w:t>60. Arthroscopic Approach for a Navicular Avulsion Fracture in an Elite Dancer: A Case Report</w:t>
      </w:r>
    </w:p>
    <w:p w14:paraId="495C3880" w14:textId="338E63C3" w:rsidR="00AF5F65" w:rsidRDefault="00A360B8">
      <w:r>
        <w:rPr>
          <w:rFonts w:ascii="Arial" w:eastAsia="Arial" w:hAnsi="Arial" w:cs="Arial"/>
          <w:color w:val="000000"/>
          <w:sz w:val="18"/>
          <w:szCs w:val="18"/>
        </w:rPr>
        <w:t>Lily S. Cohen</w:t>
      </w:r>
      <w:r>
        <w:rPr>
          <w:rFonts w:ascii="Arial" w:eastAsia="Arial" w:hAnsi="Arial" w:cs="Arial"/>
          <w:i/>
          <w:iCs/>
          <w:sz w:val="18"/>
          <w:szCs w:val="18"/>
        </w:rPr>
        <w:t>‡</w:t>
      </w:r>
    </w:p>
    <w:p w14:paraId="71F06C2D" w14:textId="77777777" w:rsidR="00AF5F65" w:rsidRDefault="00A360B8">
      <w:r>
        <w:rPr>
          <w:rFonts w:ascii="Arial" w:eastAsia="Arial" w:hAnsi="Arial" w:cs="Arial"/>
          <w:color w:val="444444"/>
          <w:sz w:val="18"/>
          <w:szCs w:val="18"/>
        </w:rPr>
        <w:t>Miko Fogarty, DPM</w:t>
      </w:r>
    </w:p>
    <w:p w14:paraId="2F72F24F" w14:textId="77777777" w:rsidR="00AF5F65" w:rsidRDefault="00A360B8">
      <w:r>
        <w:rPr>
          <w:rFonts w:ascii="Arial" w:eastAsia="Arial" w:hAnsi="Arial" w:cs="Arial"/>
          <w:color w:val="444444"/>
          <w:sz w:val="18"/>
          <w:szCs w:val="18"/>
        </w:rPr>
        <w:t>Justin Lewis, DPM</w:t>
      </w:r>
    </w:p>
    <w:p w14:paraId="67C69331" w14:textId="18D85285" w:rsidR="00AF5F65" w:rsidRDefault="00A360B8">
      <w:pPr>
        <w:spacing w:before="180" w:after="60"/>
      </w:pPr>
      <w:r>
        <w:rPr>
          <w:rFonts w:ascii="Arial" w:eastAsia="Arial" w:hAnsi="Arial" w:cs="Arial"/>
          <w:b/>
          <w:bCs/>
          <w:color w:val="000000"/>
        </w:rPr>
        <w:t>61.  Continuing Medical Education Requirements for Podiatric Physicians</w:t>
      </w:r>
    </w:p>
    <w:p w14:paraId="38DD3BF1" w14:textId="73EC2E0F" w:rsidR="00AF5F65" w:rsidRDefault="00A360B8">
      <w:r>
        <w:rPr>
          <w:rFonts w:ascii="Arial" w:eastAsia="Arial" w:hAnsi="Arial" w:cs="Arial"/>
          <w:color w:val="444444"/>
          <w:sz w:val="18"/>
          <w:szCs w:val="18"/>
        </w:rPr>
        <w:t>Chinkal Patel</w:t>
      </w:r>
      <w:r>
        <w:rPr>
          <w:rFonts w:ascii="Arial" w:eastAsia="Arial" w:hAnsi="Arial" w:cs="Arial"/>
          <w:i/>
          <w:iCs/>
          <w:sz w:val="18"/>
          <w:szCs w:val="18"/>
        </w:rPr>
        <w:t>‡</w:t>
      </w:r>
    </w:p>
    <w:p w14:paraId="1A515C6D" w14:textId="77777777" w:rsidR="00AF5F65" w:rsidRDefault="00A360B8">
      <w:pPr>
        <w:rPr>
          <w:rFonts w:ascii="Arial" w:eastAsia="Arial" w:hAnsi="Arial" w:cs="Arial"/>
          <w:color w:val="444444"/>
          <w:sz w:val="18"/>
          <w:szCs w:val="18"/>
        </w:rPr>
      </w:pPr>
      <w:r>
        <w:rPr>
          <w:rFonts w:ascii="Arial" w:eastAsia="Arial" w:hAnsi="Arial" w:cs="Arial"/>
          <w:color w:val="444444"/>
          <w:sz w:val="18"/>
          <w:szCs w:val="18"/>
        </w:rPr>
        <w:t>Russell J Stoner, MS</w:t>
      </w:r>
    </w:p>
    <w:p w14:paraId="77055644" w14:textId="77777777" w:rsidR="0066334A" w:rsidRDefault="0066334A" w:rsidP="0066334A">
      <w:r>
        <w:rPr>
          <w:rFonts w:ascii="Arial" w:eastAsia="Arial" w:hAnsi="Arial" w:cs="Arial"/>
          <w:color w:val="000000"/>
          <w:sz w:val="18"/>
          <w:szCs w:val="18"/>
        </w:rPr>
        <w:t>Judith A Manzi, DPM</w:t>
      </w:r>
    </w:p>
    <w:p w14:paraId="3E538D33" w14:textId="12951BCE" w:rsidR="00AF5F65" w:rsidRDefault="00A360B8">
      <w:pPr>
        <w:spacing w:before="180" w:after="60"/>
      </w:pPr>
      <w:r>
        <w:rPr>
          <w:rFonts w:ascii="Arial" w:eastAsia="Arial" w:hAnsi="Arial" w:cs="Arial"/>
          <w:b/>
          <w:bCs/>
          <w:color w:val="000000"/>
        </w:rPr>
        <w:t>62. Depth Matters: Using Wagner Classification to Guide Skin Graft Layering in Chronic Diabetic Foot Ulcers</w:t>
      </w:r>
    </w:p>
    <w:p w14:paraId="265CC1EF" w14:textId="46AFEEFC" w:rsidR="00AF5F65" w:rsidRDefault="00A360B8">
      <w:r>
        <w:rPr>
          <w:rFonts w:ascii="Arial" w:eastAsia="Arial" w:hAnsi="Arial" w:cs="Arial"/>
          <w:color w:val="000000"/>
          <w:sz w:val="18"/>
          <w:szCs w:val="18"/>
        </w:rPr>
        <w:t>Cassandra M. Saint-Louis, MBS</w:t>
      </w:r>
      <w:r>
        <w:rPr>
          <w:rFonts w:ascii="Arial" w:eastAsia="Arial" w:hAnsi="Arial" w:cs="Arial"/>
          <w:i/>
          <w:iCs/>
          <w:sz w:val="18"/>
          <w:szCs w:val="18"/>
        </w:rPr>
        <w:t>‡</w:t>
      </w:r>
    </w:p>
    <w:p w14:paraId="4F88B096" w14:textId="77777777" w:rsidR="00AF5F65" w:rsidRDefault="00A360B8">
      <w:r>
        <w:rPr>
          <w:rFonts w:ascii="Arial" w:eastAsia="Arial" w:hAnsi="Arial" w:cs="Arial"/>
          <w:color w:val="444444"/>
          <w:sz w:val="18"/>
          <w:szCs w:val="18"/>
        </w:rPr>
        <w:t>Percy Nelson, DPM</w:t>
      </w:r>
    </w:p>
    <w:p w14:paraId="49EB3E43" w14:textId="77777777" w:rsidR="00AF5F65" w:rsidRDefault="00A360B8">
      <w:r>
        <w:rPr>
          <w:rFonts w:ascii="Arial" w:eastAsia="Arial" w:hAnsi="Arial" w:cs="Arial"/>
          <w:color w:val="444444"/>
          <w:sz w:val="18"/>
          <w:szCs w:val="18"/>
        </w:rPr>
        <w:t>Oshin Thomas</w:t>
      </w:r>
    </w:p>
    <w:p w14:paraId="60C06D06" w14:textId="77777777" w:rsidR="00AF5F65" w:rsidRDefault="00A360B8">
      <w:r>
        <w:rPr>
          <w:rFonts w:ascii="Arial" w:eastAsia="Arial" w:hAnsi="Arial" w:cs="Arial"/>
          <w:color w:val="444444"/>
          <w:sz w:val="18"/>
          <w:szCs w:val="18"/>
        </w:rPr>
        <w:lastRenderedPageBreak/>
        <w:t>Tasmia Unnoor</w:t>
      </w:r>
    </w:p>
    <w:p w14:paraId="51237378" w14:textId="503A467A" w:rsidR="00AF5F65" w:rsidRDefault="00A360B8">
      <w:pPr>
        <w:spacing w:before="180" w:after="60"/>
      </w:pPr>
      <w:r>
        <w:rPr>
          <w:rFonts w:ascii="Arial" w:eastAsia="Arial" w:hAnsi="Arial" w:cs="Arial"/>
          <w:b/>
          <w:bCs/>
          <w:color w:val="000000"/>
        </w:rPr>
        <w:t>63. Distal Tibial Lengthening and Distraction Osteogenesis in Charcot Ankle Reconstruction: A Systematic Review</w:t>
      </w:r>
    </w:p>
    <w:p w14:paraId="581198D6" w14:textId="667004FF" w:rsidR="00AF5F65" w:rsidRDefault="00A360B8">
      <w:r>
        <w:rPr>
          <w:rFonts w:ascii="Arial" w:eastAsia="Arial" w:hAnsi="Arial" w:cs="Arial"/>
          <w:color w:val="000000"/>
          <w:sz w:val="18"/>
          <w:szCs w:val="18"/>
        </w:rPr>
        <w:t>Jasmine Shaikh</w:t>
      </w:r>
      <w:r>
        <w:rPr>
          <w:rFonts w:ascii="Arial" w:eastAsia="Arial" w:hAnsi="Arial" w:cs="Arial"/>
          <w:i/>
          <w:iCs/>
          <w:sz w:val="18"/>
          <w:szCs w:val="18"/>
        </w:rPr>
        <w:t>‡</w:t>
      </w:r>
    </w:p>
    <w:p w14:paraId="36212634" w14:textId="77777777" w:rsidR="00AF5F65" w:rsidRDefault="00A360B8">
      <w:r>
        <w:rPr>
          <w:rFonts w:ascii="Arial" w:eastAsia="Arial" w:hAnsi="Arial" w:cs="Arial"/>
          <w:color w:val="444444"/>
          <w:sz w:val="18"/>
          <w:szCs w:val="18"/>
        </w:rPr>
        <w:t>Johanna Godoy-Jones, DPM</w:t>
      </w:r>
    </w:p>
    <w:p w14:paraId="30C37847" w14:textId="7A5F534B" w:rsidR="00AF5F65" w:rsidRDefault="00A360B8">
      <w:pPr>
        <w:spacing w:before="180" w:after="60"/>
      </w:pPr>
      <w:r>
        <w:rPr>
          <w:rFonts w:ascii="Arial" w:eastAsia="Arial" w:hAnsi="Arial" w:cs="Arial"/>
          <w:b/>
          <w:bCs/>
          <w:color w:val="000000"/>
        </w:rPr>
        <w:t>64. Evaluating Confidence Levels of Podiatric Physicians in Performing Skin Biopsies on Patients</w:t>
      </w:r>
    </w:p>
    <w:p w14:paraId="55E9F809" w14:textId="727CA777" w:rsidR="00AF5F65" w:rsidRPr="00D51F20" w:rsidRDefault="00A360B8">
      <w:pPr>
        <w:rPr>
          <w:lang w:val="es-ES"/>
        </w:rPr>
      </w:pPr>
      <w:r>
        <w:rPr>
          <w:rFonts w:ascii="Arial" w:eastAsia="Arial" w:hAnsi="Arial" w:cs="Arial"/>
          <w:color w:val="000000"/>
          <w:sz w:val="18"/>
          <w:szCs w:val="18"/>
          <w:lang w:val="es-ES"/>
        </w:rPr>
        <w:t>Aman Gupta Pokal</w:t>
      </w:r>
      <w:r>
        <w:rPr>
          <w:rFonts w:ascii="Arial" w:eastAsia="Arial" w:hAnsi="Arial" w:cs="Arial"/>
          <w:i/>
          <w:iCs/>
          <w:sz w:val="18"/>
          <w:szCs w:val="18"/>
          <w:lang w:val="es-ES"/>
        </w:rPr>
        <w:t>‡</w:t>
      </w:r>
    </w:p>
    <w:p w14:paraId="0BDD4C9C" w14:textId="77777777" w:rsidR="00AF5F65" w:rsidRPr="00D51F20" w:rsidRDefault="00A360B8">
      <w:pPr>
        <w:rPr>
          <w:lang w:val="es-ES"/>
        </w:rPr>
      </w:pPr>
      <w:r>
        <w:rPr>
          <w:rFonts w:ascii="Arial" w:eastAsia="Arial" w:hAnsi="Arial" w:cs="Arial"/>
          <w:color w:val="444444"/>
          <w:sz w:val="18"/>
          <w:szCs w:val="18"/>
          <w:lang w:val="es-ES"/>
        </w:rPr>
        <w:t>Sabrina Minhas, DPM</w:t>
      </w:r>
    </w:p>
    <w:p w14:paraId="43D0C042" w14:textId="566C1052" w:rsidR="00AF5F65" w:rsidRDefault="00A360B8">
      <w:pPr>
        <w:spacing w:before="180" w:after="60"/>
      </w:pPr>
      <w:r>
        <w:rPr>
          <w:rFonts w:ascii="Arial" w:eastAsia="Arial" w:hAnsi="Arial" w:cs="Arial"/>
          <w:b/>
          <w:bCs/>
          <w:color w:val="000000"/>
        </w:rPr>
        <w:t>65. The Impact of Residency Training Status and Hospital Ownership on Cost in Patients Living with Type 2 Diabetes Mellitus</w:t>
      </w:r>
    </w:p>
    <w:p w14:paraId="3A6C77AC" w14:textId="33317199" w:rsidR="00AF5F65" w:rsidRDefault="00A360B8">
      <w:r>
        <w:rPr>
          <w:rFonts w:ascii="Arial" w:eastAsia="Arial" w:hAnsi="Arial" w:cs="Arial"/>
          <w:color w:val="000000"/>
          <w:sz w:val="18"/>
          <w:szCs w:val="18"/>
        </w:rPr>
        <w:t>Carrissa L. Smith</w:t>
      </w:r>
      <w:r>
        <w:rPr>
          <w:rFonts w:ascii="Arial" w:eastAsia="Arial" w:hAnsi="Arial" w:cs="Arial"/>
          <w:i/>
          <w:iCs/>
          <w:sz w:val="18"/>
          <w:szCs w:val="18"/>
        </w:rPr>
        <w:t>‡</w:t>
      </w:r>
    </w:p>
    <w:p w14:paraId="6E37D733" w14:textId="77777777" w:rsidR="00AF5F65" w:rsidRDefault="00A360B8">
      <w:r>
        <w:rPr>
          <w:rFonts w:ascii="Arial" w:eastAsia="Arial" w:hAnsi="Arial" w:cs="Arial"/>
          <w:color w:val="444444"/>
          <w:sz w:val="18"/>
          <w:szCs w:val="18"/>
        </w:rPr>
        <w:t>Jordan J. Caine</w:t>
      </w:r>
    </w:p>
    <w:p w14:paraId="6F47B7EF" w14:textId="77777777" w:rsidR="00AF5F65" w:rsidRDefault="00A360B8">
      <w:r>
        <w:rPr>
          <w:rFonts w:ascii="Arial" w:eastAsia="Arial" w:hAnsi="Arial" w:cs="Arial"/>
          <w:color w:val="444444"/>
          <w:sz w:val="18"/>
          <w:szCs w:val="18"/>
        </w:rPr>
        <w:t>Fanglong Dong, PhD</w:t>
      </w:r>
    </w:p>
    <w:p w14:paraId="2D684822" w14:textId="77777777" w:rsidR="00AF5F65" w:rsidRDefault="00A360B8">
      <w:r>
        <w:rPr>
          <w:rFonts w:ascii="Arial" w:eastAsia="Arial" w:hAnsi="Arial" w:cs="Arial"/>
          <w:color w:val="444444"/>
          <w:sz w:val="18"/>
          <w:szCs w:val="18"/>
        </w:rPr>
        <w:t>Jonathan Labovitz, DPM</w:t>
      </w:r>
    </w:p>
    <w:p w14:paraId="14A40105" w14:textId="343C28A9" w:rsidR="00AF5F65" w:rsidRDefault="00A360B8">
      <w:pPr>
        <w:spacing w:before="180" w:after="60"/>
      </w:pPr>
      <w:r>
        <w:rPr>
          <w:rFonts w:ascii="Arial" w:eastAsia="Arial" w:hAnsi="Arial" w:cs="Arial"/>
          <w:b/>
          <w:bCs/>
          <w:color w:val="000000"/>
        </w:rPr>
        <w:t>66.  Meta-analysis of Antimicrobial Effects of Nitric Oxide on Staphylococcus aureus and Pseudomonas aeruginosa Biofilms Using Chemical NO Donors</w:t>
      </w:r>
    </w:p>
    <w:p w14:paraId="72C7C6EC" w14:textId="0ADFCDAE" w:rsidR="00AF5F65" w:rsidRPr="00D51F20" w:rsidRDefault="00A360B8">
      <w:pPr>
        <w:rPr>
          <w:lang w:val="es-ES"/>
        </w:rPr>
      </w:pPr>
      <w:r>
        <w:rPr>
          <w:rFonts w:ascii="Arial" w:eastAsia="Arial" w:hAnsi="Arial" w:cs="Arial"/>
          <w:color w:val="000000"/>
          <w:sz w:val="18"/>
          <w:szCs w:val="18"/>
          <w:lang w:val="es-ES"/>
        </w:rPr>
        <w:t>Tehreem Syed</w:t>
      </w:r>
      <w:r>
        <w:rPr>
          <w:rFonts w:ascii="Arial" w:eastAsia="Arial" w:hAnsi="Arial" w:cs="Arial"/>
          <w:i/>
          <w:iCs/>
          <w:sz w:val="18"/>
          <w:szCs w:val="18"/>
          <w:lang w:val="es-ES"/>
        </w:rPr>
        <w:t>‡</w:t>
      </w:r>
    </w:p>
    <w:p w14:paraId="75274F15" w14:textId="12DF2844" w:rsidR="00AF5F65" w:rsidRPr="00D51F20" w:rsidRDefault="00A360B8">
      <w:pPr>
        <w:rPr>
          <w:lang w:val="es-ES"/>
        </w:rPr>
      </w:pPr>
      <w:r>
        <w:rPr>
          <w:rFonts w:ascii="Arial" w:eastAsia="Arial" w:hAnsi="Arial" w:cs="Arial"/>
          <w:color w:val="444444"/>
          <w:sz w:val="18"/>
          <w:szCs w:val="18"/>
          <w:lang w:val="es-ES"/>
        </w:rPr>
        <w:t>Paramita Basu, PhD, MS</w:t>
      </w:r>
    </w:p>
    <w:p w14:paraId="0011C282" w14:textId="77777777" w:rsidR="00AF5F65" w:rsidRPr="00D51F20" w:rsidRDefault="00A360B8">
      <w:pPr>
        <w:rPr>
          <w:lang w:val="es-ES"/>
        </w:rPr>
      </w:pPr>
      <w:r>
        <w:rPr>
          <w:rFonts w:ascii="Arial" w:eastAsia="Arial" w:hAnsi="Arial" w:cs="Arial"/>
          <w:color w:val="444444"/>
          <w:sz w:val="18"/>
          <w:szCs w:val="18"/>
          <w:lang w:val="es-ES"/>
        </w:rPr>
        <w:t>Monica Cambi, MS</w:t>
      </w:r>
    </w:p>
    <w:p w14:paraId="445F9BAA" w14:textId="77777777" w:rsidR="00AF5F65" w:rsidRDefault="00A360B8">
      <w:r>
        <w:rPr>
          <w:rFonts w:ascii="Arial" w:eastAsia="Arial" w:hAnsi="Arial" w:cs="Arial"/>
          <w:color w:val="444444"/>
          <w:sz w:val="18"/>
          <w:szCs w:val="18"/>
        </w:rPr>
        <w:t>Svetlana Lopata, DPM</w:t>
      </w:r>
    </w:p>
    <w:p w14:paraId="22E3A992" w14:textId="77777777" w:rsidR="00AF5F65" w:rsidRDefault="00A360B8">
      <w:r>
        <w:rPr>
          <w:rFonts w:ascii="Arial" w:eastAsia="Arial" w:hAnsi="Arial" w:cs="Arial"/>
          <w:color w:val="444444"/>
          <w:sz w:val="18"/>
          <w:szCs w:val="18"/>
        </w:rPr>
        <w:t>Disal Wickramasingh, MS</w:t>
      </w:r>
    </w:p>
    <w:p w14:paraId="12ECFADE" w14:textId="43CED88D" w:rsidR="00AF5F65" w:rsidRDefault="00A360B8">
      <w:pPr>
        <w:spacing w:before="180" w:after="60"/>
      </w:pPr>
      <w:r>
        <w:rPr>
          <w:rFonts w:ascii="Arial" w:eastAsia="Arial" w:hAnsi="Arial" w:cs="Arial"/>
          <w:b/>
          <w:bCs/>
          <w:color w:val="000000"/>
        </w:rPr>
        <w:t>67. Minimally Invasive vs. Open Hallux Valgus Correction: Does Technique Impact Outcomes?</w:t>
      </w:r>
    </w:p>
    <w:p w14:paraId="2860CC4D" w14:textId="46E2508C" w:rsidR="00AF5F65" w:rsidRPr="00D51F20" w:rsidRDefault="00A360B8">
      <w:pPr>
        <w:rPr>
          <w:lang w:val="es-ES"/>
        </w:rPr>
      </w:pPr>
      <w:r>
        <w:rPr>
          <w:rFonts w:ascii="Arial" w:eastAsia="Arial" w:hAnsi="Arial" w:cs="Arial"/>
          <w:color w:val="000000"/>
          <w:sz w:val="18"/>
          <w:szCs w:val="18"/>
          <w:lang w:val="es-ES"/>
        </w:rPr>
        <w:t>Maria E. Torrealba</w:t>
      </w:r>
      <w:r>
        <w:rPr>
          <w:rFonts w:ascii="Arial" w:eastAsia="Arial" w:hAnsi="Arial" w:cs="Arial"/>
          <w:i/>
          <w:iCs/>
          <w:sz w:val="18"/>
          <w:szCs w:val="18"/>
          <w:lang w:val="es-ES"/>
        </w:rPr>
        <w:t>‡</w:t>
      </w:r>
    </w:p>
    <w:p w14:paraId="248A5B8C" w14:textId="77777777" w:rsidR="00AF5F65" w:rsidRPr="00D51F20" w:rsidRDefault="00A360B8">
      <w:pPr>
        <w:rPr>
          <w:lang w:val="es-ES"/>
        </w:rPr>
      </w:pPr>
      <w:r>
        <w:rPr>
          <w:rFonts w:ascii="Arial" w:eastAsia="Arial" w:hAnsi="Arial" w:cs="Arial"/>
          <w:color w:val="444444"/>
          <w:sz w:val="18"/>
          <w:szCs w:val="18"/>
          <w:lang w:val="es-ES"/>
        </w:rPr>
        <w:t>Dunia Aguila</w:t>
      </w:r>
    </w:p>
    <w:p w14:paraId="6AE6DED3" w14:textId="77777777" w:rsidR="00AF5F65" w:rsidRPr="00D51F20" w:rsidRDefault="00A360B8">
      <w:pPr>
        <w:rPr>
          <w:lang w:val="es-ES"/>
        </w:rPr>
      </w:pPr>
      <w:r>
        <w:rPr>
          <w:rFonts w:ascii="Arial" w:eastAsia="Arial" w:hAnsi="Arial" w:cs="Arial"/>
          <w:color w:val="444444"/>
          <w:sz w:val="18"/>
          <w:szCs w:val="18"/>
          <w:lang w:val="es-ES"/>
        </w:rPr>
        <w:t>Rossie Becerra</w:t>
      </w:r>
    </w:p>
    <w:p w14:paraId="35FF441B" w14:textId="77777777" w:rsidR="00AF5F65" w:rsidRPr="00D51F20" w:rsidRDefault="00A360B8">
      <w:pPr>
        <w:rPr>
          <w:lang w:val="es-ES"/>
        </w:rPr>
      </w:pPr>
      <w:r>
        <w:rPr>
          <w:rFonts w:ascii="Arial" w:eastAsia="Arial" w:hAnsi="Arial" w:cs="Arial"/>
          <w:color w:val="444444"/>
          <w:sz w:val="18"/>
          <w:szCs w:val="18"/>
          <w:lang w:val="es-ES"/>
        </w:rPr>
        <w:t>MacKenzie Norman</w:t>
      </w:r>
    </w:p>
    <w:p w14:paraId="1CE4989A" w14:textId="790762EF" w:rsidR="00AF5F65" w:rsidRPr="00D51F20" w:rsidRDefault="00A360B8">
      <w:pPr>
        <w:rPr>
          <w:lang w:val="es-ES"/>
        </w:rPr>
      </w:pPr>
      <w:r>
        <w:rPr>
          <w:rFonts w:ascii="Arial" w:eastAsia="Arial" w:hAnsi="Arial" w:cs="Arial"/>
          <w:color w:val="444444"/>
          <w:sz w:val="18"/>
          <w:szCs w:val="18"/>
          <w:lang w:val="es-ES"/>
        </w:rPr>
        <w:t>Enrique Rosario Aloma, DPM, PhD</w:t>
      </w:r>
    </w:p>
    <w:p w14:paraId="08BF08CA" w14:textId="7FA39C5F" w:rsidR="00AF5F65" w:rsidRDefault="00A360B8">
      <w:pPr>
        <w:spacing w:before="180" w:after="60"/>
      </w:pPr>
      <w:r>
        <w:rPr>
          <w:rFonts w:ascii="Arial" w:eastAsia="Arial" w:hAnsi="Arial" w:cs="Arial"/>
          <w:b/>
          <w:bCs/>
          <w:color w:val="000000"/>
        </w:rPr>
        <w:t>68. Plantar Fat Pad Atrophy and Displacement of the Foot: A Scoping Review of Diagnostic Criteria, Imaging Modalities, and Clinical Outcomes</w:t>
      </w:r>
    </w:p>
    <w:p w14:paraId="23C0F3BE" w14:textId="7338D782" w:rsidR="00AF5F65" w:rsidRDefault="00A360B8">
      <w:r>
        <w:rPr>
          <w:rFonts w:ascii="Arial" w:eastAsia="Arial" w:hAnsi="Arial" w:cs="Arial"/>
          <w:color w:val="000000"/>
          <w:sz w:val="18"/>
          <w:szCs w:val="18"/>
        </w:rPr>
        <w:t>Christian J. Kaplan</w:t>
      </w:r>
      <w:r>
        <w:rPr>
          <w:rFonts w:ascii="Arial" w:eastAsia="Arial" w:hAnsi="Arial" w:cs="Arial"/>
          <w:i/>
          <w:iCs/>
          <w:sz w:val="18"/>
          <w:szCs w:val="18"/>
        </w:rPr>
        <w:t>‡</w:t>
      </w:r>
    </w:p>
    <w:p w14:paraId="3C538901" w14:textId="77777777" w:rsidR="00AF5F65" w:rsidRDefault="00A360B8">
      <w:r>
        <w:rPr>
          <w:rFonts w:ascii="Arial" w:eastAsia="Arial" w:hAnsi="Arial" w:cs="Arial"/>
          <w:color w:val="444444"/>
          <w:sz w:val="18"/>
          <w:szCs w:val="18"/>
        </w:rPr>
        <w:t>Allen Kempf, DPM</w:t>
      </w:r>
    </w:p>
    <w:p w14:paraId="6BBBC20E" w14:textId="77777777" w:rsidR="00AF5F65" w:rsidRDefault="00A360B8">
      <w:r>
        <w:rPr>
          <w:rFonts w:ascii="Arial" w:eastAsia="Arial" w:hAnsi="Arial" w:cs="Arial"/>
          <w:color w:val="444444"/>
          <w:sz w:val="18"/>
          <w:szCs w:val="18"/>
        </w:rPr>
        <w:t>Sandeep Buttar</w:t>
      </w:r>
    </w:p>
    <w:p w14:paraId="1D1072FF" w14:textId="77777777" w:rsidR="00AF5F65" w:rsidRDefault="00A360B8">
      <w:r>
        <w:rPr>
          <w:rFonts w:ascii="Arial" w:eastAsia="Arial" w:hAnsi="Arial" w:cs="Arial"/>
          <w:color w:val="444444"/>
          <w:sz w:val="18"/>
          <w:szCs w:val="18"/>
        </w:rPr>
        <w:t>Cailey Griffi</w:t>
      </w:r>
    </w:p>
    <w:p w14:paraId="1B18674C" w14:textId="77777777" w:rsidR="00AF5F65" w:rsidRDefault="00A360B8">
      <w:r>
        <w:rPr>
          <w:rFonts w:ascii="Arial" w:eastAsia="Arial" w:hAnsi="Arial" w:cs="Arial"/>
          <w:color w:val="444444"/>
          <w:sz w:val="18"/>
          <w:szCs w:val="18"/>
        </w:rPr>
        <w:t>Ashlyn R. Smith</w:t>
      </w:r>
    </w:p>
    <w:p w14:paraId="123F8D1A" w14:textId="75AC089A" w:rsidR="00AF5F65" w:rsidRDefault="00A360B8">
      <w:pPr>
        <w:spacing w:before="180" w:after="60"/>
      </w:pPr>
      <w:r>
        <w:rPr>
          <w:rFonts w:ascii="Arial" w:eastAsia="Arial" w:hAnsi="Arial" w:cs="Arial"/>
          <w:b/>
          <w:bCs/>
          <w:color w:val="000000"/>
        </w:rPr>
        <w:t>69. Posterior Muscle Group Lengthening may Reduce Risk of Reoperation when Performed Concurrently with Transmetatarsal Amputation</w:t>
      </w:r>
    </w:p>
    <w:p w14:paraId="2B14E4A8" w14:textId="66B08F75" w:rsidR="00AF5F65" w:rsidRDefault="00A360B8">
      <w:r>
        <w:rPr>
          <w:rFonts w:ascii="Arial" w:eastAsia="Arial" w:hAnsi="Arial" w:cs="Arial"/>
          <w:color w:val="000000"/>
          <w:sz w:val="18"/>
          <w:szCs w:val="18"/>
        </w:rPr>
        <w:t>Hanna Shawabkeh, MS</w:t>
      </w:r>
      <w:r>
        <w:rPr>
          <w:rFonts w:ascii="Arial" w:eastAsia="Arial" w:hAnsi="Arial" w:cs="Arial"/>
          <w:i/>
          <w:iCs/>
          <w:sz w:val="18"/>
          <w:szCs w:val="18"/>
        </w:rPr>
        <w:t>‡</w:t>
      </w:r>
    </w:p>
    <w:p w14:paraId="5B94BC13" w14:textId="77777777" w:rsidR="00AF5F65" w:rsidRDefault="00A360B8">
      <w:r>
        <w:rPr>
          <w:rFonts w:ascii="Arial" w:eastAsia="Arial" w:hAnsi="Arial" w:cs="Arial"/>
          <w:color w:val="444444"/>
          <w:sz w:val="18"/>
          <w:szCs w:val="18"/>
        </w:rPr>
        <w:t>Rachel Albright, DPM, MPH</w:t>
      </w:r>
    </w:p>
    <w:p w14:paraId="740003D5" w14:textId="77777777" w:rsidR="00AF5F65" w:rsidRDefault="00A360B8">
      <w:r>
        <w:rPr>
          <w:rFonts w:ascii="Arial" w:eastAsia="Arial" w:hAnsi="Arial" w:cs="Arial"/>
          <w:color w:val="444444"/>
          <w:sz w:val="18"/>
          <w:szCs w:val="18"/>
        </w:rPr>
        <w:t>Petrina Chino, DPM</w:t>
      </w:r>
    </w:p>
    <w:p w14:paraId="3FA007E7" w14:textId="77777777" w:rsidR="00AF5F65" w:rsidRDefault="00A360B8">
      <w:r>
        <w:rPr>
          <w:rFonts w:ascii="Arial" w:eastAsia="Arial" w:hAnsi="Arial" w:cs="Arial"/>
          <w:color w:val="444444"/>
          <w:sz w:val="18"/>
          <w:szCs w:val="18"/>
        </w:rPr>
        <w:t>Adam Fleischer, DPM, MPH</w:t>
      </w:r>
    </w:p>
    <w:p w14:paraId="795BF6C4" w14:textId="1B5FB995" w:rsidR="00AF5F65" w:rsidRDefault="00A360B8">
      <w:pPr>
        <w:spacing w:before="180" w:after="60"/>
      </w:pPr>
      <w:r>
        <w:rPr>
          <w:rFonts w:ascii="Arial" w:eastAsia="Arial" w:hAnsi="Arial" w:cs="Arial"/>
          <w:b/>
          <w:bCs/>
          <w:color w:val="000000"/>
        </w:rPr>
        <w:t>70. Potentiation of Gentamicin Efficacy by N-acetylcysteine (NAC) in Polymicrobial Biofilm Models of Escherichia coli and Enterococcus faecalis</w:t>
      </w:r>
    </w:p>
    <w:p w14:paraId="5816B2D7" w14:textId="1E7C77D0" w:rsidR="00AF5F65" w:rsidRPr="00D51F20" w:rsidRDefault="00A360B8">
      <w:pPr>
        <w:rPr>
          <w:lang w:val="es-ES"/>
        </w:rPr>
      </w:pPr>
      <w:r>
        <w:rPr>
          <w:rFonts w:ascii="Arial" w:eastAsia="Arial" w:hAnsi="Arial" w:cs="Arial"/>
          <w:color w:val="000000"/>
          <w:sz w:val="18"/>
          <w:szCs w:val="18"/>
          <w:lang w:val="es-ES"/>
        </w:rPr>
        <w:t>Sumin Pratik Karna</w:t>
      </w:r>
      <w:r>
        <w:rPr>
          <w:rFonts w:ascii="Arial" w:eastAsia="Arial" w:hAnsi="Arial" w:cs="Arial"/>
          <w:i/>
          <w:iCs/>
          <w:sz w:val="18"/>
          <w:szCs w:val="18"/>
          <w:lang w:val="es-ES"/>
        </w:rPr>
        <w:t>‡</w:t>
      </w:r>
    </w:p>
    <w:p w14:paraId="655A78B0" w14:textId="4E38D3E8" w:rsidR="00AF5F65" w:rsidRPr="00D51F20" w:rsidRDefault="00A360B8">
      <w:pPr>
        <w:rPr>
          <w:lang w:val="es-ES"/>
        </w:rPr>
      </w:pPr>
      <w:r>
        <w:rPr>
          <w:rFonts w:ascii="Arial" w:eastAsia="Arial" w:hAnsi="Arial" w:cs="Arial"/>
          <w:color w:val="444444"/>
          <w:sz w:val="18"/>
          <w:szCs w:val="18"/>
          <w:lang w:val="es-ES"/>
        </w:rPr>
        <w:t>Paramita Basu, PhD, MS</w:t>
      </w:r>
    </w:p>
    <w:p w14:paraId="5AD4D5F9" w14:textId="77777777" w:rsidR="00AF5F65" w:rsidRDefault="00A360B8">
      <w:r>
        <w:rPr>
          <w:rFonts w:ascii="Arial" w:eastAsia="Arial" w:hAnsi="Arial" w:cs="Arial"/>
          <w:color w:val="444444"/>
          <w:sz w:val="18"/>
          <w:szCs w:val="18"/>
        </w:rPr>
        <w:t>Mariann Chang, MS</w:t>
      </w:r>
    </w:p>
    <w:p w14:paraId="322189B9" w14:textId="77777777" w:rsidR="00AF5F65" w:rsidRDefault="00A360B8">
      <w:r>
        <w:rPr>
          <w:rFonts w:ascii="Arial" w:eastAsia="Arial" w:hAnsi="Arial" w:cs="Arial"/>
          <w:color w:val="444444"/>
          <w:sz w:val="18"/>
          <w:szCs w:val="18"/>
        </w:rPr>
        <w:t>Priyank Kumar, PhD</w:t>
      </w:r>
    </w:p>
    <w:p w14:paraId="4BAD56FF" w14:textId="77777777" w:rsidR="00AF5F65" w:rsidRDefault="00A360B8">
      <w:r>
        <w:rPr>
          <w:rFonts w:ascii="Arial" w:eastAsia="Arial" w:hAnsi="Arial" w:cs="Arial"/>
          <w:color w:val="444444"/>
          <w:sz w:val="18"/>
          <w:szCs w:val="18"/>
        </w:rPr>
        <w:t>Devin Sanders</w:t>
      </w:r>
    </w:p>
    <w:p w14:paraId="53EF57D7" w14:textId="77777777" w:rsidR="00AF5F65" w:rsidRDefault="00A360B8">
      <w:r>
        <w:rPr>
          <w:rFonts w:ascii="Arial" w:eastAsia="Arial" w:hAnsi="Arial" w:cs="Arial"/>
          <w:color w:val="444444"/>
          <w:sz w:val="18"/>
          <w:szCs w:val="18"/>
        </w:rPr>
        <w:t>Ramesh Seepersaud</w:t>
      </w:r>
    </w:p>
    <w:p w14:paraId="2009BFD4" w14:textId="77777777" w:rsidR="00AF5F65" w:rsidRDefault="00A360B8">
      <w:r>
        <w:rPr>
          <w:rFonts w:ascii="Arial" w:eastAsia="Arial" w:hAnsi="Arial" w:cs="Arial"/>
          <w:color w:val="444444"/>
          <w:sz w:val="18"/>
          <w:szCs w:val="18"/>
        </w:rPr>
        <w:t>Aksah Mariam Varghese, MS</w:t>
      </w:r>
    </w:p>
    <w:p w14:paraId="3110F0FF" w14:textId="77777777" w:rsidR="00AF5F65" w:rsidRDefault="00A360B8">
      <w:r>
        <w:rPr>
          <w:rFonts w:ascii="Arial" w:eastAsia="Arial" w:hAnsi="Arial" w:cs="Arial"/>
          <w:color w:val="444444"/>
          <w:sz w:val="18"/>
          <w:szCs w:val="18"/>
        </w:rPr>
        <w:t>Disal Wickramasinghe, MS</w:t>
      </w:r>
    </w:p>
    <w:p w14:paraId="71FA3D53" w14:textId="7B44E036" w:rsidR="00AF5F65" w:rsidRDefault="00A360B8">
      <w:pPr>
        <w:spacing w:before="180" w:after="60"/>
      </w:pPr>
      <w:r>
        <w:rPr>
          <w:rFonts w:ascii="Arial" w:eastAsia="Arial" w:hAnsi="Arial" w:cs="Arial"/>
          <w:b/>
          <w:bCs/>
          <w:color w:val="000000"/>
        </w:rPr>
        <w:t>71. Recurrence of Congenital Vertical Talus: A Systematic Review of the Influence of Age, Etiology, and Surgical Technique</w:t>
      </w:r>
    </w:p>
    <w:p w14:paraId="280F9F6D" w14:textId="280D2727" w:rsidR="00AF5F65" w:rsidRDefault="00A360B8">
      <w:r>
        <w:rPr>
          <w:rFonts w:ascii="Arial" w:eastAsia="Arial" w:hAnsi="Arial" w:cs="Arial"/>
          <w:color w:val="000000"/>
          <w:sz w:val="18"/>
          <w:szCs w:val="18"/>
        </w:rPr>
        <w:t>Lily S. Cohen</w:t>
      </w:r>
      <w:r>
        <w:rPr>
          <w:rFonts w:ascii="Arial" w:eastAsia="Arial" w:hAnsi="Arial" w:cs="Arial"/>
          <w:i/>
          <w:iCs/>
          <w:sz w:val="18"/>
          <w:szCs w:val="18"/>
        </w:rPr>
        <w:t>‡</w:t>
      </w:r>
    </w:p>
    <w:p w14:paraId="7A63DF40" w14:textId="77777777" w:rsidR="00AF5F65" w:rsidRDefault="00A360B8">
      <w:r>
        <w:rPr>
          <w:rFonts w:ascii="Arial" w:eastAsia="Arial" w:hAnsi="Arial" w:cs="Arial"/>
          <w:color w:val="444444"/>
          <w:sz w:val="18"/>
          <w:szCs w:val="18"/>
        </w:rPr>
        <w:lastRenderedPageBreak/>
        <w:t>Olivia B. Reichborn-Piazza, MA</w:t>
      </w:r>
    </w:p>
    <w:p w14:paraId="6478A577" w14:textId="77777777" w:rsidR="00AF5F65" w:rsidRDefault="00A360B8">
      <w:r>
        <w:rPr>
          <w:rFonts w:ascii="Arial" w:eastAsia="Arial" w:hAnsi="Arial" w:cs="Arial"/>
          <w:color w:val="444444"/>
          <w:sz w:val="18"/>
          <w:szCs w:val="18"/>
        </w:rPr>
        <w:t>Melanie Violand, DPM</w:t>
      </w:r>
    </w:p>
    <w:p w14:paraId="0370B2F5" w14:textId="3228DE23" w:rsidR="00AF5F65" w:rsidRDefault="00A360B8">
      <w:pPr>
        <w:spacing w:before="180" w:after="60"/>
      </w:pPr>
      <w:r>
        <w:rPr>
          <w:rFonts w:ascii="Arial" w:eastAsia="Arial" w:hAnsi="Arial" w:cs="Arial"/>
          <w:b/>
          <w:bCs/>
          <w:color w:val="000000"/>
        </w:rPr>
        <w:t>72. The Reliability of Thermal Imaging in Assessing Microvascular Circulation of a Diabetic Lower Extremity: FLIR One versus Skin Perfusion Pressure (SPP)</w:t>
      </w:r>
    </w:p>
    <w:p w14:paraId="158E03A0" w14:textId="1BA3CCAD" w:rsidR="00AF5F65" w:rsidRDefault="00A360B8">
      <w:r>
        <w:rPr>
          <w:rFonts w:ascii="Arial" w:eastAsia="Arial" w:hAnsi="Arial" w:cs="Arial"/>
          <w:color w:val="000000"/>
          <w:sz w:val="18"/>
          <w:szCs w:val="18"/>
        </w:rPr>
        <w:t>Mary Furlong</w:t>
      </w:r>
      <w:r>
        <w:rPr>
          <w:rFonts w:ascii="Arial" w:eastAsia="Arial" w:hAnsi="Arial" w:cs="Arial"/>
          <w:i/>
          <w:iCs/>
          <w:sz w:val="18"/>
          <w:szCs w:val="18"/>
        </w:rPr>
        <w:t>‡</w:t>
      </w:r>
    </w:p>
    <w:p w14:paraId="042DC175" w14:textId="397B51B1" w:rsidR="00AF5F65" w:rsidRDefault="00A360B8">
      <w:r>
        <w:rPr>
          <w:rFonts w:ascii="Arial" w:eastAsia="Arial" w:hAnsi="Arial" w:cs="Arial"/>
          <w:color w:val="444444"/>
          <w:sz w:val="18"/>
          <w:szCs w:val="18"/>
        </w:rPr>
        <w:t>Kyler Hattendorf, DPM</w:t>
      </w:r>
    </w:p>
    <w:p w14:paraId="6A635F0C" w14:textId="77777777" w:rsidR="00AF5F65" w:rsidRDefault="00A360B8">
      <w:r>
        <w:rPr>
          <w:rFonts w:ascii="Arial" w:eastAsia="Arial" w:hAnsi="Arial" w:cs="Arial"/>
          <w:color w:val="444444"/>
          <w:sz w:val="18"/>
          <w:szCs w:val="18"/>
        </w:rPr>
        <w:t>Leland Jaffe, DPM</w:t>
      </w:r>
    </w:p>
    <w:p w14:paraId="65133A17" w14:textId="7D8A3D89" w:rsidR="00AF5F65" w:rsidRDefault="00A360B8">
      <w:r>
        <w:rPr>
          <w:rFonts w:ascii="Arial" w:eastAsia="Arial" w:hAnsi="Arial" w:cs="Arial"/>
          <w:color w:val="444444"/>
          <w:sz w:val="18"/>
          <w:szCs w:val="18"/>
        </w:rPr>
        <w:t>Steven A. Miller, PhD</w:t>
      </w:r>
    </w:p>
    <w:p w14:paraId="2DA870EE" w14:textId="77777777" w:rsidR="00AF5F65" w:rsidRDefault="00A360B8">
      <w:r>
        <w:rPr>
          <w:rFonts w:ascii="Arial" w:eastAsia="Arial" w:hAnsi="Arial" w:cs="Arial"/>
          <w:color w:val="444444"/>
          <w:sz w:val="18"/>
          <w:szCs w:val="18"/>
        </w:rPr>
        <w:t>Noah Rosenblatt, PhD</w:t>
      </w:r>
    </w:p>
    <w:p w14:paraId="320120F8" w14:textId="3B67A3C9" w:rsidR="00AF5F65" w:rsidRDefault="00A360B8">
      <w:r>
        <w:rPr>
          <w:rFonts w:ascii="Arial" w:eastAsia="Arial" w:hAnsi="Arial" w:cs="Arial"/>
          <w:color w:val="444444"/>
          <w:sz w:val="18"/>
          <w:szCs w:val="18"/>
        </w:rPr>
        <w:t>Jason H. Wolfarth</w:t>
      </w:r>
    </w:p>
    <w:p w14:paraId="705AA102" w14:textId="66168806" w:rsidR="00AF5F65" w:rsidRDefault="00A360B8">
      <w:pPr>
        <w:spacing w:before="180" w:after="60"/>
      </w:pPr>
      <w:r>
        <w:rPr>
          <w:rFonts w:ascii="Arial" w:eastAsia="Arial" w:hAnsi="Arial" w:cs="Arial"/>
          <w:b/>
          <w:bCs/>
          <w:color w:val="000000"/>
        </w:rPr>
        <w:t>73. The Role of Biologic Augmentation in Achilles Tendon Repair: A Systematic Review</w:t>
      </w:r>
    </w:p>
    <w:p w14:paraId="5FDFBE8A" w14:textId="75EFC397" w:rsidR="00AF5F65" w:rsidRPr="00D51F20" w:rsidRDefault="00A360B8">
      <w:pPr>
        <w:rPr>
          <w:lang w:val="es-ES"/>
        </w:rPr>
      </w:pPr>
      <w:r>
        <w:rPr>
          <w:rFonts w:ascii="Arial" w:eastAsia="Arial" w:hAnsi="Arial" w:cs="Arial"/>
          <w:color w:val="000000"/>
          <w:sz w:val="18"/>
          <w:szCs w:val="18"/>
          <w:lang w:val="es-ES"/>
        </w:rPr>
        <w:t>Maria E. Torrealba</w:t>
      </w:r>
      <w:r>
        <w:rPr>
          <w:rFonts w:ascii="Arial" w:eastAsia="Arial" w:hAnsi="Arial" w:cs="Arial"/>
          <w:i/>
          <w:iCs/>
          <w:sz w:val="18"/>
          <w:szCs w:val="18"/>
          <w:lang w:val="es-ES"/>
        </w:rPr>
        <w:t>‡</w:t>
      </w:r>
    </w:p>
    <w:p w14:paraId="259D94DE" w14:textId="77777777" w:rsidR="00AF5F65" w:rsidRPr="00D51F20" w:rsidRDefault="00A360B8">
      <w:pPr>
        <w:rPr>
          <w:lang w:val="es-ES"/>
        </w:rPr>
      </w:pPr>
      <w:r>
        <w:rPr>
          <w:rFonts w:ascii="Arial" w:eastAsia="Arial" w:hAnsi="Arial" w:cs="Arial"/>
          <w:color w:val="444444"/>
          <w:sz w:val="18"/>
          <w:szCs w:val="18"/>
          <w:lang w:val="es-ES"/>
        </w:rPr>
        <w:t>Musharib Chaudhry, DPM</w:t>
      </w:r>
    </w:p>
    <w:p w14:paraId="2964CF3C" w14:textId="77777777" w:rsidR="00AF5F65" w:rsidRDefault="00A360B8">
      <w:r>
        <w:rPr>
          <w:rFonts w:ascii="Arial" w:eastAsia="Arial" w:hAnsi="Arial" w:cs="Arial"/>
          <w:color w:val="444444"/>
          <w:sz w:val="18"/>
          <w:szCs w:val="18"/>
        </w:rPr>
        <w:t>MacKenzie Norman</w:t>
      </w:r>
    </w:p>
    <w:p w14:paraId="1B6EE852" w14:textId="3D161269" w:rsidR="00AF5F65" w:rsidRDefault="00A360B8">
      <w:pPr>
        <w:spacing w:before="180" w:after="60"/>
      </w:pPr>
      <w:r>
        <w:rPr>
          <w:rFonts w:ascii="Arial" w:eastAsia="Arial" w:hAnsi="Arial" w:cs="Arial"/>
          <w:b/>
          <w:bCs/>
          <w:color w:val="000000"/>
        </w:rPr>
        <w:t>74. The Role of Split Tibialis Anterior Tendon Transfer in Surgical Correction of Progressive Neuromuscular Clubfoot in a Child with Lipomyelomeningocele: A Case Study</w:t>
      </w:r>
    </w:p>
    <w:p w14:paraId="08D35C1F" w14:textId="120328F8" w:rsidR="00AF5F65" w:rsidRDefault="00A360B8">
      <w:r>
        <w:rPr>
          <w:rFonts w:ascii="Arial" w:eastAsia="Arial" w:hAnsi="Arial" w:cs="Arial"/>
          <w:color w:val="000000"/>
          <w:sz w:val="18"/>
          <w:szCs w:val="18"/>
        </w:rPr>
        <w:t>Susanna A. Oppong</w:t>
      </w:r>
      <w:r>
        <w:rPr>
          <w:rFonts w:ascii="Arial" w:eastAsia="Arial" w:hAnsi="Arial" w:cs="Arial"/>
          <w:i/>
          <w:iCs/>
          <w:sz w:val="18"/>
          <w:szCs w:val="18"/>
        </w:rPr>
        <w:t>‡</w:t>
      </w:r>
    </w:p>
    <w:p w14:paraId="2F81CBEF" w14:textId="77777777" w:rsidR="00AF5F65" w:rsidRDefault="00A360B8">
      <w:r>
        <w:rPr>
          <w:rFonts w:ascii="Arial" w:eastAsia="Arial" w:hAnsi="Arial" w:cs="Arial"/>
          <w:color w:val="444444"/>
          <w:sz w:val="18"/>
          <w:szCs w:val="18"/>
        </w:rPr>
        <w:t>Diana Kvach, DPM</w:t>
      </w:r>
    </w:p>
    <w:p w14:paraId="21794BEB" w14:textId="77777777" w:rsidR="00AF5F65" w:rsidRDefault="00A360B8">
      <w:r>
        <w:rPr>
          <w:rFonts w:ascii="Arial" w:eastAsia="Arial" w:hAnsi="Arial" w:cs="Arial"/>
          <w:color w:val="444444"/>
          <w:sz w:val="18"/>
          <w:szCs w:val="18"/>
        </w:rPr>
        <w:t>Mitzi Williams, DPM</w:t>
      </w:r>
    </w:p>
    <w:p w14:paraId="456243C6" w14:textId="6D857AAC" w:rsidR="00AF5F65" w:rsidRDefault="00A360B8">
      <w:pPr>
        <w:spacing w:before="180" w:after="60"/>
      </w:pPr>
      <w:r>
        <w:rPr>
          <w:rFonts w:ascii="Arial" w:eastAsia="Arial" w:hAnsi="Arial" w:cs="Arial"/>
          <w:b/>
          <w:bCs/>
          <w:color w:val="000000"/>
        </w:rPr>
        <w:t>75. Sacred Steps: Preserving and Integrating Native American Foot Care in Podiatric Medicine</w:t>
      </w:r>
    </w:p>
    <w:p w14:paraId="65CECEC1" w14:textId="56B3D083" w:rsidR="00AF5F65" w:rsidRPr="00D51F20" w:rsidRDefault="00A360B8">
      <w:pPr>
        <w:rPr>
          <w:lang w:val="es-ES"/>
        </w:rPr>
      </w:pPr>
      <w:r>
        <w:rPr>
          <w:rFonts w:ascii="Arial" w:eastAsia="Arial" w:hAnsi="Arial" w:cs="Arial"/>
          <w:color w:val="000000"/>
          <w:sz w:val="18"/>
          <w:szCs w:val="18"/>
          <w:lang w:val="es-ES"/>
        </w:rPr>
        <w:t>Selena Sanchez-Giancola</w:t>
      </w:r>
      <w:r>
        <w:rPr>
          <w:rFonts w:ascii="Arial" w:eastAsia="Arial" w:hAnsi="Arial" w:cs="Arial"/>
          <w:i/>
          <w:iCs/>
          <w:sz w:val="18"/>
          <w:szCs w:val="18"/>
          <w:lang w:val="es-ES"/>
        </w:rPr>
        <w:t>‡</w:t>
      </w:r>
    </w:p>
    <w:p w14:paraId="49DEBB6C" w14:textId="77777777" w:rsidR="00AF5F65" w:rsidRPr="00D51F20" w:rsidRDefault="00A360B8">
      <w:pPr>
        <w:rPr>
          <w:lang w:val="es-ES"/>
        </w:rPr>
      </w:pPr>
      <w:r>
        <w:rPr>
          <w:rFonts w:ascii="Arial" w:eastAsia="Arial" w:hAnsi="Arial" w:cs="Arial"/>
          <w:color w:val="444444"/>
          <w:sz w:val="18"/>
          <w:szCs w:val="18"/>
          <w:lang w:val="es-ES"/>
        </w:rPr>
        <w:t>Arman Kirakosian, DPM</w:t>
      </w:r>
    </w:p>
    <w:p w14:paraId="00C8FB00" w14:textId="0EC42C8A" w:rsidR="00AF5F65" w:rsidRDefault="00A360B8">
      <w:pPr>
        <w:spacing w:before="180" w:after="60"/>
      </w:pPr>
      <w:r>
        <w:rPr>
          <w:rFonts w:ascii="Arial" w:eastAsia="Arial" w:hAnsi="Arial" w:cs="Arial"/>
          <w:b/>
          <w:bCs/>
          <w:color w:val="000000"/>
        </w:rPr>
        <w:t>76. The Significance of MexB in Pseudomonas Aeruginosa Antibiotic Resistance: a Systematic Review and Meta-analysis.</w:t>
      </w:r>
    </w:p>
    <w:p w14:paraId="3951DD88" w14:textId="4B5304C3" w:rsidR="00AF5F65" w:rsidRPr="00D51F20" w:rsidRDefault="00A360B8">
      <w:pPr>
        <w:rPr>
          <w:lang w:val="es-ES"/>
        </w:rPr>
      </w:pPr>
      <w:r>
        <w:rPr>
          <w:rFonts w:ascii="Arial" w:eastAsia="Arial" w:hAnsi="Arial" w:cs="Arial"/>
          <w:color w:val="000000"/>
          <w:sz w:val="18"/>
          <w:szCs w:val="18"/>
          <w:lang w:val="es-ES"/>
        </w:rPr>
        <w:t>Nabeal Nassar</w:t>
      </w:r>
      <w:r>
        <w:rPr>
          <w:rFonts w:ascii="Arial" w:eastAsia="Arial" w:hAnsi="Arial" w:cs="Arial"/>
          <w:i/>
          <w:iCs/>
          <w:sz w:val="18"/>
          <w:szCs w:val="18"/>
          <w:lang w:val="es-ES"/>
        </w:rPr>
        <w:t>‡</w:t>
      </w:r>
    </w:p>
    <w:p w14:paraId="14AC7C88" w14:textId="77777777" w:rsidR="00AF5F65" w:rsidRPr="00D51F20" w:rsidRDefault="00A360B8">
      <w:pPr>
        <w:rPr>
          <w:lang w:val="es-ES"/>
        </w:rPr>
      </w:pPr>
      <w:r>
        <w:rPr>
          <w:rFonts w:ascii="Arial" w:eastAsia="Arial" w:hAnsi="Arial" w:cs="Arial"/>
          <w:color w:val="444444"/>
          <w:sz w:val="18"/>
          <w:szCs w:val="18"/>
          <w:lang w:val="es-ES"/>
        </w:rPr>
        <w:t>Sam Adegboyega, DPM</w:t>
      </w:r>
    </w:p>
    <w:p w14:paraId="38322F58" w14:textId="36010ACB" w:rsidR="00AF5F65" w:rsidRPr="00D51F20" w:rsidRDefault="00A360B8">
      <w:pPr>
        <w:rPr>
          <w:lang w:val="es-ES"/>
        </w:rPr>
      </w:pPr>
      <w:r>
        <w:rPr>
          <w:rFonts w:ascii="Arial" w:eastAsia="Arial" w:hAnsi="Arial" w:cs="Arial"/>
          <w:color w:val="444444"/>
          <w:sz w:val="18"/>
          <w:szCs w:val="18"/>
          <w:lang w:val="es-ES"/>
        </w:rPr>
        <w:t>Paramita Basu, PhD, MS</w:t>
      </w:r>
    </w:p>
    <w:p w14:paraId="784F16CF" w14:textId="77777777" w:rsidR="00AF5F65" w:rsidRDefault="00A360B8">
      <w:r>
        <w:rPr>
          <w:rFonts w:ascii="Arial" w:eastAsia="Arial" w:hAnsi="Arial" w:cs="Arial"/>
          <w:color w:val="444444"/>
          <w:sz w:val="18"/>
          <w:szCs w:val="18"/>
        </w:rPr>
        <w:t>Jade Giuffre</w:t>
      </w:r>
    </w:p>
    <w:p w14:paraId="0D2B0D38" w14:textId="77777777" w:rsidR="00AF5F65" w:rsidRDefault="00A360B8">
      <w:r>
        <w:rPr>
          <w:rFonts w:ascii="Arial" w:eastAsia="Arial" w:hAnsi="Arial" w:cs="Arial"/>
          <w:color w:val="444444"/>
          <w:sz w:val="18"/>
          <w:szCs w:val="18"/>
        </w:rPr>
        <w:t>Joseph Palladino</w:t>
      </w:r>
    </w:p>
    <w:p w14:paraId="47A6E74C" w14:textId="77777777" w:rsidR="00AF5F65" w:rsidRDefault="00A360B8">
      <w:r>
        <w:rPr>
          <w:rFonts w:ascii="Arial" w:eastAsia="Arial" w:hAnsi="Arial" w:cs="Arial"/>
          <w:color w:val="444444"/>
          <w:sz w:val="18"/>
          <w:szCs w:val="18"/>
        </w:rPr>
        <w:t>Parth Parikh</w:t>
      </w:r>
    </w:p>
    <w:p w14:paraId="69043329" w14:textId="422FD978" w:rsidR="00AF5F65" w:rsidRDefault="00A360B8">
      <w:pPr>
        <w:spacing w:before="180" w:after="60"/>
      </w:pPr>
      <w:r>
        <w:rPr>
          <w:rFonts w:ascii="Arial" w:eastAsia="Arial" w:hAnsi="Arial" w:cs="Arial"/>
          <w:b/>
          <w:bCs/>
          <w:color w:val="000000"/>
        </w:rPr>
        <w:t>77. Vitamin D Optimization and Bone Healing in Foot and Ankle Surgery: A Retrospective Review</w:t>
      </w:r>
    </w:p>
    <w:p w14:paraId="612BA2F4" w14:textId="4AEA7824" w:rsidR="00AF5F65" w:rsidRPr="00D51F20" w:rsidRDefault="00A360B8">
      <w:pPr>
        <w:rPr>
          <w:lang w:val="es-ES"/>
        </w:rPr>
      </w:pPr>
      <w:r>
        <w:rPr>
          <w:rFonts w:ascii="Arial" w:eastAsia="Arial" w:hAnsi="Arial" w:cs="Arial"/>
          <w:color w:val="000000"/>
          <w:sz w:val="18"/>
          <w:szCs w:val="18"/>
          <w:lang w:val="es-ES"/>
        </w:rPr>
        <w:t>MacKenzie Norman</w:t>
      </w:r>
      <w:r>
        <w:rPr>
          <w:rFonts w:ascii="Arial" w:eastAsia="Arial" w:hAnsi="Arial" w:cs="Arial"/>
          <w:i/>
          <w:iCs/>
          <w:sz w:val="18"/>
          <w:szCs w:val="18"/>
          <w:lang w:val="es-ES"/>
        </w:rPr>
        <w:t>‡</w:t>
      </w:r>
    </w:p>
    <w:p w14:paraId="3545AAD8" w14:textId="261AB542" w:rsidR="00AF5F65" w:rsidRPr="00D51F20" w:rsidRDefault="00A360B8">
      <w:pPr>
        <w:rPr>
          <w:lang w:val="es-ES"/>
        </w:rPr>
      </w:pPr>
      <w:r>
        <w:rPr>
          <w:rFonts w:ascii="Arial" w:eastAsia="Arial" w:hAnsi="Arial" w:cs="Arial"/>
          <w:color w:val="444444"/>
          <w:sz w:val="18"/>
          <w:szCs w:val="18"/>
          <w:lang w:val="es-ES"/>
        </w:rPr>
        <w:t>Dunia Aguila</w:t>
      </w:r>
    </w:p>
    <w:p w14:paraId="4CB7E75A" w14:textId="77777777" w:rsidR="00AF5F65" w:rsidRPr="00D51F20" w:rsidRDefault="00A360B8">
      <w:pPr>
        <w:rPr>
          <w:lang w:val="es-ES"/>
        </w:rPr>
      </w:pPr>
      <w:r>
        <w:rPr>
          <w:rFonts w:ascii="Arial" w:eastAsia="Arial" w:hAnsi="Arial" w:cs="Arial"/>
          <w:color w:val="444444"/>
          <w:sz w:val="18"/>
          <w:szCs w:val="18"/>
          <w:lang w:val="es-ES"/>
        </w:rPr>
        <w:t>Rossie Becerra</w:t>
      </w:r>
    </w:p>
    <w:p w14:paraId="46333B17" w14:textId="77777777" w:rsidR="00AF5F65" w:rsidRPr="00D51F20" w:rsidRDefault="00A360B8">
      <w:pPr>
        <w:rPr>
          <w:lang w:val="es-ES"/>
        </w:rPr>
      </w:pPr>
      <w:r>
        <w:rPr>
          <w:rFonts w:ascii="Arial" w:eastAsia="Arial" w:hAnsi="Arial" w:cs="Arial"/>
          <w:color w:val="444444"/>
          <w:sz w:val="18"/>
          <w:szCs w:val="18"/>
          <w:lang w:val="es-ES"/>
        </w:rPr>
        <w:t>Jesus Castro</w:t>
      </w:r>
    </w:p>
    <w:p w14:paraId="366EC190" w14:textId="77777777" w:rsidR="00AF5F65" w:rsidRPr="00D51F20" w:rsidRDefault="00A360B8">
      <w:pPr>
        <w:rPr>
          <w:lang w:val="es-ES"/>
        </w:rPr>
      </w:pPr>
      <w:r>
        <w:rPr>
          <w:rFonts w:ascii="Arial" w:eastAsia="Arial" w:hAnsi="Arial" w:cs="Arial"/>
          <w:color w:val="444444"/>
          <w:sz w:val="18"/>
          <w:szCs w:val="18"/>
          <w:lang w:val="es-ES"/>
        </w:rPr>
        <w:t>Musharib Chaudhry, DPM</w:t>
      </w:r>
    </w:p>
    <w:p w14:paraId="520493D8" w14:textId="77777777" w:rsidR="00AF5F65" w:rsidRPr="00D51F20" w:rsidRDefault="00A360B8">
      <w:pPr>
        <w:rPr>
          <w:lang w:val="es-ES"/>
        </w:rPr>
      </w:pPr>
      <w:r>
        <w:rPr>
          <w:rFonts w:ascii="Arial" w:eastAsia="Arial" w:hAnsi="Arial" w:cs="Arial"/>
          <w:color w:val="444444"/>
          <w:sz w:val="18"/>
          <w:szCs w:val="18"/>
          <w:lang w:val="es-ES"/>
        </w:rPr>
        <w:t>Nicole Lincoln</w:t>
      </w:r>
    </w:p>
    <w:p w14:paraId="14A899D7" w14:textId="77777777" w:rsidR="00AF5F65" w:rsidRDefault="00A360B8">
      <w:r>
        <w:rPr>
          <w:rFonts w:ascii="Arial" w:eastAsia="Arial" w:hAnsi="Arial" w:cs="Arial"/>
          <w:color w:val="444444"/>
          <w:sz w:val="18"/>
          <w:szCs w:val="18"/>
        </w:rPr>
        <w:t>Maria E. Torrealba</w:t>
      </w:r>
    </w:p>
    <w:p w14:paraId="232294D0" w14:textId="77777777" w:rsidR="00AF5F65" w:rsidRPr="001F0AFE" w:rsidRDefault="00A360B8">
      <w:pPr>
        <w:pBdr>
          <w:bottom w:val="single" w:sz="8" w:space="4" w:color="2E75B6"/>
        </w:pBdr>
        <w:spacing w:before="280" w:after="100"/>
      </w:pPr>
      <w:r>
        <w:rPr>
          <w:rFonts w:ascii="Arial" w:eastAsia="Arial" w:hAnsi="Arial" w:cs="Arial"/>
          <w:b/>
          <w:bCs/>
          <w:sz w:val="26"/>
          <w:szCs w:val="26"/>
        </w:rPr>
        <w:t>Industry-Sponsored Abstracts</w:t>
      </w:r>
    </w:p>
    <w:p w14:paraId="00B3C2E3" w14:textId="16361A62" w:rsidR="00AF5F65" w:rsidRDefault="00A360B8">
      <w:pPr>
        <w:spacing w:before="180" w:after="60"/>
      </w:pPr>
      <w:r>
        <w:rPr>
          <w:rFonts w:ascii="Arial" w:eastAsia="Arial" w:hAnsi="Arial" w:cs="Arial"/>
          <w:b/>
          <w:bCs/>
          <w:color w:val="000000"/>
        </w:rPr>
        <w:t>78. 2026 Terbinafine Resistance Update: The Burden and Geographic Distribution of Antifungal-Resistant Dermatophytes in Nail Infections in the United States</w:t>
      </w:r>
    </w:p>
    <w:p w14:paraId="0B483158" w14:textId="5F248FB9" w:rsidR="00AF5F65" w:rsidRDefault="00A360B8">
      <w:r>
        <w:rPr>
          <w:rFonts w:ascii="Arial" w:eastAsia="Arial" w:hAnsi="Arial" w:cs="Arial"/>
          <w:color w:val="000000"/>
          <w:sz w:val="18"/>
          <w:szCs w:val="18"/>
        </w:rPr>
        <w:t>Ahmed Kadry, MD</w:t>
      </w:r>
      <w:r>
        <w:rPr>
          <w:rFonts w:ascii="Arial" w:eastAsia="Arial" w:hAnsi="Arial" w:cs="Arial"/>
          <w:i/>
          <w:iCs/>
          <w:sz w:val="18"/>
          <w:szCs w:val="18"/>
        </w:rPr>
        <w:t>†</w:t>
      </w:r>
    </w:p>
    <w:p w14:paraId="6B99BD42" w14:textId="77777777" w:rsidR="00AF5F65" w:rsidRDefault="00A360B8">
      <w:r>
        <w:rPr>
          <w:rFonts w:ascii="Arial" w:eastAsia="Arial" w:hAnsi="Arial" w:cs="Arial"/>
          <w:color w:val="444444"/>
          <w:sz w:val="18"/>
          <w:szCs w:val="18"/>
        </w:rPr>
        <w:t>Mahmoud Ghannoum, PhD</w:t>
      </w:r>
    </w:p>
    <w:p w14:paraId="03FE6C7A" w14:textId="77777777" w:rsidR="00AF5F65" w:rsidRDefault="00A360B8">
      <w:r>
        <w:rPr>
          <w:rFonts w:ascii="Arial" w:eastAsia="Arial" w:hAnsi="Arial" w:cs="Arial"/>
          <w:color w:val="444444"/>
          <w:sz w:val="18"/>
          <w:szCs w:val="18"/>
        </w:rPr>
        <w:t>Audrianna Honda</w:t>
      </w:r>
    </w:p>
    <w:p w14:paraId="529437F2" w14:textId="77777777" w:rsidR="00AF5F65" w:rsidRDefault="00A360B8">
      <w:r>
        <w:rPr>
          <w:rFonts w:ascii="Arial" w:eastAsia="Arial" w:hAnsi="Arial" w:cs="Arial"/>
          <w:color w:val="444444"/>
          <w:sz w:val="18"/>
          <w:szCs w:val="18"/>
        </w:rPr>
        <w:t>Thomas McCormick, PhD</w:t>
      </w:r>
    </w:p>
    <w:p w14:paraId="1B331E86" w14:textId="77777777" w:rsidR="00AF5F65" w:rsidRDefault="00A360B8">
      <w:r>
        <w:rPr>
          <w:rFonts w:ascii="Arial" w:eastAsia="Arial" w:hAnsi="Arial" w:cs="Arial"/>
          <w:color w:val="444444"/>
          <w:sz w:val="18"/>
          <w:szCs w:val="18"/>
        </w:rPr>
        <w:t>Su Yong Choi</w:t>
      </w:r>
    </w:p>
    <w:p w14:paraId="1326CBD5" w14:textId="635EFF53" w:rsidR="00AF5F65" w:rsidRDefault="00A360B8">
      <w:pPr>
        <w:spacing w:before="180" w:after="60"/>
      </w:pPr>
      <w:r>
        <w:rPr>
          <w:rFonts w:ascii="Arial" w:eastAsia="Arial" w:hAnsi="Arial" w:cs="Arial"/>
          <w:b/>
          <w:bCs/>
          <w:color w:val="000000"/>
        </w:rPr>
        <w:t>79. An In-Office Study of the Effectiveness and Safety of an Ingrown Toenail Bandage</w:t>
      </w:r>
    </w:p>
    <w:p w14:paraId="526652FD" w14:textId="18AA9F13" w:rsidR="00AF5F65" w:rsidRDefault="00A360B8">
      <w:r>
        <w:rPr>
          <w:rFonts w:ascii="Arial" w:eastAsia="Arial" w:hAnsi="Arial" w:cs="Arial"/>
          <w:color w:val="000000"/>
          <w:sz w:val="18"/>
          <w:szCs w:val="18"/>
        </w:rPr>
        <w:t>Kiana Karbasi, DPM</w:t>
      </w:r>
      <w:r>
        <w:rPr>
          <w:rFonts w:ascii="Arial" w:eastAsia="Arial" w:hAnsi="Arial" w:cs="Arial"/>
          <w:i/>
          <w:iCs/>
          <w:sz w:val="18"/>
          <w:szCs w:val="18"/>
        </w:rPr>
        <w:t>†</w:t>
      </w:r>
    </w:p>
    <w:p w14:paraId="3A8A9EFC" w14:textId="77777777" w:rsidR="00AF5F65" w:rsidRDefault="00A360B8">
      <w:r>
        <w:rPr>
          <w:rFonts w:ascii="Arial" w:eastAsia="Arial" w:hAnsi="Arial" w:cs="Arial"/>
          <w:color w:val="444444"/>
          <w:sz w:val="18"/>
          <w:szCs w:val="18"/>
        </w:rPr>
        <w:t>Joanne Browne, MS</w:t>
      </w:r>
    </w:p>
    <w:p w14:paraId="7301F2AD" w14:textId="77777777" w:rsidR="00AF5F65" w:rsidRDefault="00A360B8">
      <w:r>
        <w:rPr>
          <w:rFonts w:ascii="Arial" w:eastAsia="Arial" w:hAnsi="Arial" w:cs="Arial"/>
          <w:color w:val="444444"/>
          <w:sz w:val="18"/>
          <w:szCs w:val="18"/>
        </w:rPr>
        <w:t>Anne Campbell, MS</w:t>
      </w:r>
    </w:p>
    <w:p w14:paraId="2CC7BB7A" w14:textId="77777777" w:rsidR="00AF5F65" w:rsidRDefault="00A360B8">
      <w:r>
        <w:rPr>
          <w:rFonts w:ascii="Arial" w:eastAsia="Arial" w:hAnsi="Arial" w:cs="Arial"/>
          <w:color w:val="444444"/>
          <w:sz w:val="18"/>
          <w:szCs w:val="18"/>
        </w:rPr>
        <w:t>Edmund Farmer</w:t>
      </w:r>
    </w:p>
    <w:p w14:paraId="05700F11" w14:textId="77777777" w:rsidR="00AF5F65" w:rsidRDefault="00A360B8">
      <w:r>
        <w:rPr>
          <w:rFonts w:ascii="Arial" w:eastAsia="Arial" w:hAnsi="Arial" w:cs="Arial"/>
          <w:color w:val="444444"/>
          <w:sz w:val="18"/>
          <w:szCs w:val="18"/>
        </w:rPr>
        <w:t>Briana Gonzalez, MS</w:t>
      </w:r>
    </w:p>
    <w:p w14:paraId="36FEA730" w14:textId="77777777" w:rsidR="00AF5F65" w:rsidRDefault="00A360B8">
      <w:r>
        <w:rPr>
          <w:rFonts w:ascii="Arial" w:eastAsia="Arial" w:hAnsi="Arial" w:cs="Arial"/>
          <w:color w:val="444444"/>
          <w:sz w:val="18"/>
          <w:szCs w:val="18"/>
        </w:rPr>
        <w:t>Samantha Horrocks, MS</w:t>
      </w:r>
    </w:p>
    <w:p w14:paraId="6260B620" w14:textId="77777777" w:rsidR="00AF5F65" w:rsidRDefault="00A360B8">
      <w:r>
        <w:rPr>
          <w:rFonts w:ascii="Arial" w:eastAsia="Arial" w:hAnsi="Arial" w:cs="Arial"/>
          <w:color w:val="444444"/>
          <w:sz w:val="18"/>
          <w:szCs w:val="18"/>
        </w:rPr>
        <w:lastRenderedPageBreak/>
        <w:t>Chrissy Maraghy</w:t>
      </w:r>
    </w:p>
    <w:p w14:paraId="3337D3B9" w14:textId="77777777" w:rsidR="00AF5F65" w:rsidRDefault="00A360B8">
      <w:r>
        <w:rPr>
          <w:rFonts w:ascii="Arial" w:eastAsia="Arial" w:hAnsi="Arial" w:cs="Arial"/>
          <w:color w:val="444444"/>
          <w:sz w:val="18"/>
          <w:szCs w:val="18"/>
        </w:rPr>
        <w:t>Timothy Miller, DPM</w:t>
      </w:r>
    </w:p>
    <w:p w14:paraId="7FC241D6" w14:textId="77777777" w:rsidR="00AF5F65" w:rsidRDefault="00A360B8">
      <w:r>
        <w:rPr>
          <w:rFonts w:ascii="Arial" w:eastAsia="Arial" w:hAnsi="Arial" w:cs="Arial"/>
          <w:color w:val="444444"/>
          <w:sz w:val="18"/>
          <w:szCs w:val="18"/>
        </w:rPr>
        <w:t>Bruce Nelson, MS</w:t>
      </w:r>
    </w:p>
    <w:p w14:paraId="08A4D8A8" w14:textId="7B02B2B3" w:rsidR="00AF5F65" w:rsidRDefault="00CF3231">
      <w:pPr>
        <w:spacing w:before="180" w:after="60"/>
      </w:pPr>
      <w:r>
        <w:rPr>
          <w:rFonts w:ascii="Arial" w:eastAsia="Arial" w:hAnsi="Arial" w:cs="Arial"/>
          <w:b/>
          <w:bCs/>
          <w:color w:val="000000"/>
        </w:rPr>
        <w:t>80. Long-term safety, efficacy, and durability of collagenase clostridium histolyticum (CCH) in the treatment and re-treatment of plantar fibromatosis (PFI)</w:t>
      </w:r>
    </w:p>
    <w:p w14:paraId="371850CA" w14:textId="3780CFC7" w:rsidR="00AF5F65" w:rsidRDefault="00A360B8">
      <w:r>
        <w:rPr>
          <w:rFonts w:ascii="Arial" w:eastAsia="Arial" w:hAnsi="Arial" w:cs="Arial"/>
          <w:color w:val="000000"/>
          <w:sz w:val="18"/>
          <w:szCs w:val="18"/>
        </w:rPr>
        <w:t>C. James Anderson, DPM</w:t>
      </w:r>
      <w:r>
        <w:rPr>
          <w:rFonts w:ascii="Arial" w:eastAsia="Arial" w:hAnsi="Arial" w:cs="Arial"/>
          <w:i/>
          <w:iCs/>
          <w:sz w:val="18"/>
          <w:szCs w:val="18"/>
        </w:rPr>
        <w:t>†</w:t>
      </w:r>
    </w:p>
    <w:p w14:paraId="3AE03238" w14:textId="77777777" w:rsidR="00AF5F65" w:rsidRDefault="00A360B8">
      <w:r>
        <w:rPr>
          <w:rFonts w:ascii="Arial" w:eastAsia="Arial" w:hAnsi="Arial" w:cs="Arial"/>
          <w:color w:val="444444"/>
          <w:sz w:val="18"/>
          <w:szCs w:val="18"/>
        </w:rPr>
        <w:t>Joseph Caporusso, DPM</w:t>
      </w:r>
    </w:p>
    <w:p w14:paraId="45F36A35" w14:textId="77777777" w:rsidR="00AF5F65" w:rsidRPr="00D51F20" w:rsidRDefault="00A360B8">
      <w:pPr>
        <w:rPr>
          <w:lang w:val="es-ES"/>
        </w:rPr>
      </w:pPr>
      <w:r>
        <w:rPr>
          <w:rFonts w:ascii="Arial" w:eastAsia="Arial" w:hAnsi="Arial" w:cs="Arial"/>
          <w:color w:val="444444"/>
          <w:sz w:val="18"/>
          <w:szCs w:val="18"/>
          <w:lang w:val="es-ES"/>
        </w:rPr>
        <w:t>Nigel Jones</w:t>
      </w:r>
    </w:p>
    <w:p w14:paraId="263E4142" w14:textId="77777777" w:rsidR="00AF5F65" w:rsidRPr="00D51F20" w:rsidRDefault="00A360B8">
      <w:pPr>
        <w:rPr>
          <w:lang w:val="es-ES"/>
        </w:rPr>
      </w:pPr>
      <w:r>
        <w:rPr>
          <w:rFonts w:ascii="Arial" w:eastAsia="Arial" w:hAnsi="Arial" w:cs="Arial"/>
          <w:color w:val="444444"/>
          <w:sz w:val="18"/>
          <w:szCs w:val="18"/>
          <w:lang w:val="es-ES"/>
        </w:rPr>
        <w:t>Jason Levy, DPM</w:t>
      </w:r>
    </w:p>
    <w:p w14:paraId="3D5A37D3" w14:textId="77777777" w:rsidR="00AF5F65" w:rsidRPr="00D51F20" w:rsidRDefault="00A360B8">
      <w:pPr>
        <w:rPr>
          <w:lang w:val="es-ES"/>
        </w:rPr>
      </w:pPr>
      <w:r>
        <w:rPr>
          <w:rFonts w:ascii="Arial" w:eastAsia="Arial" w:hAnsi="Arial" w:cs="Arial"/>
          <w:color w:val="444444"/>
          <w:sz w:val="18"/>
          <w:szCs w:val="18"/>
          <w:lang w:val="es-ES"/>
        </w:rPr>
        <w:t>Luis Ortega, MD</w:t>
      </w:r>
    </w:p>
    <w:p w14:paraId="491C71FE" w14:textId="77777777" w:rsidR="00AF5F65" w:rsidRDefault="00A360B8">
      <w:r>
        <w:rPr>
          <w:rFonts w:ascii="Arial" w:eastAsia="Arial" w:hAnsi="Arial" w:cs="Arial"/>
          <w:color w:val="444444"/>
          <w:sz w:val="18"/>
          <w:szCs w:val="18"/>
        </w:rPr>
        <w:t>Sara E. Suttle, DPM</w:t>
      </w:r>
    </w:p>
    <w:p w14:paraId="634DFD08" w14:textId="77777777" w:rsidR="00AF5F65" w:rsidRDefault="00A360B8">
      <w:pPr>
        <w:rPr>
          <w:rFonts w:ascii="Arial" w:eastAsia="Arial" w:hAnsi="Arial" w:cs="Arial"/>
          <w:color w:val="444444"/>
          <w:sz w:val="18"/>
          <w:szCs w:val="18"/>
        </w:rPr>
      </w:pPr>
      <w:r>
        <w:rPr>
          <w:rFonts w:ascii="Arial" w:eastAsia="Arial" w:hAnsi="Arial" w:cs="Arial"/>
          <w:color w:val="444444"/>
          <w:sz w:val="18"/>
          <w:szCs w:val="18"/>
        </w:rPr>
        <w:t>Gongfu Zhou, PhD</w:t>
      </w:r>
    </w:p>
    <w:p w14:paraId="47951C5D" w14:textId="77777777" w:rsidR="00A07F39" w:rsidRDefault="00A07F39">
      <w:pPr>
        <w:rPr>
          <w:rFonts w:ascii="Arial" w:eastAsia="Arial" w:hAnsi="Arial" w:cs="Arial"/>
          <w:color w:val="444444"/>
          <w:sz w:val="18"/>
          <w:szCs w:val="18"/>
        </w:rPr>
      </w:pPr>
    </w:p>
    <w:p w14:paraId="64CF83FC" w14:textId="44163EC8" w:rsidR="00A07F39" w:rsidRDefault="00A07F39" w:rsidP="00A07F39">
      <w:pPr>
        <w:spacing w:before="180" w:after="60"/>
      </w:pPr>
      <w:r>
        <w:rPr>
          <w:rFonts w:ascii="Arial" w:eastAsia="Arial" w:hAnsi="Arial" w:cs="Arial"/>
          <w:b/>
          <w:bCs/>
          <w:color w:val="000000"/>
        </w:rPr>
        <w:t>81. Reflections on a 3-year Longitudinal Study of Light Therapy For Severe Onychomycosis and Future Applications to Wound Care</w:t>
      </w:r>
    </w:p>
    <w:p w14:paraId="0807495F" w14:textId="77777777" w:rsidR="00A07F39" w:rsidRDefault="00A07F39" w:rsidP="00A07F39">
      <w:r>
        <w:rPr>
          <w:rFonts w:ascii="Arial" w:eastAsia="Arial" w:hAnsi="Arial" w:cs="Arial"/>
          <w:color w:val="000000"/>
          <w:sz w:val="18"/>
          <w:szCs w:val="18"/>
        </w:rPr>
        <w:t>Alexander Rabinovich, MD</w:t>
      </w:r>
      <w:r>
        <w:rPr>
          <w:rFonts w:ascii="Arial" w:eastAsia="Arial" w:hAnsi="Arial" w:cs="Arial"/>
          <w:i/>
          <w:iCs/>
          <w:sz w:val="18"/>
          <w:szCs w:val="18"/>
        </w:rPr>
        <w:t>†</w:t>
      </w:r>
    </w:p>
    <w:p w14:paraId="1A96676E" w14:textId="77777777" w:rsidR="00A07F39" w:rsidRDefault="00A07F39" w:rsidP="00A07F39">
      <w:r>
        <w:rPr>
          <w:rFonts w:ascii="Arial" w:eastAsia="Arial" w:hAnsi="Arial" w:cs="Arial"/>
          <w:color w:val="444444"/>
          <w:sz w:val="18"/>
          <w:szCs w:val="18"/>
        </w:rPr>
        <w:t>Irit Van-Ham, PhD</w:t>
      </w:r>
    </w:p>
    <w:p w14:paraId="1C6EE18C" w14:textId="77777777" w:rsidR="00A07F39" w:rsidRDefault="00A07F39"/>
    <w:p w14:paraId="41F0FAFE" w14:textId="30A74AF2" w:rsidR="00AF5F65" w:rsidRDefault="00A360B8">
      <w:pPr>
        <w:spacing w:before="180" w:after="60"/>
      </w:pPr>
      <w:r>
        <w:rPr>
          <w:rFonts w:ascii="Arial" w:eastAsia="Arial" w:hAnsi="Arial" w:cs="Arial"/>
          <w:b/>
          <w:bCs/>
          <w:color w:val="000000"/>
        </w:rPr>
        <w:t>82.  Stryker Salvation Midfoot Nail versus Double screw fixation in Hindfoot arthrodesis</w:t>
      </w:r>
    </w:p>
    <w:p w14:paraId="54D9A901" w14:textId="63AFDD8F" w:rsidR="00AF5F65" w:rsidRDefault="00A360B8">
      <w:r>
        <w:rPr>
          <w:rFonts w:ascii="Arial" w:eastAsia="Arial" w:hAnsi="Arial" w:cs="Arial"/>
          <w:color w:val="000000"/>
          <w:sz w:val="18"/>
          <w:szCs w:val="18"/>
        </w:rPr>
        <w:t>David A Sipala, DPM</w:t>
      </w:r>
      <w:r>
        <w:rPr>
          <w:rFonts w:ascii="Arial" w:eastAsia="Arial" w:hAnsi="Arial" w:cs="Arial"/>
          <w:i/>
          <w:iCs/>
          <w:sz w:val="18"/>
          <w:szCs w:val="18"/>
        </w:rPr>
        <w:t>†</w:t>
      </w:r>
    </w:p>
    <w:p w14:paraId="3D357730" w14:textId="77777777" w:rsidR="00AF5F65" w:rsidRDefault="00A360B8">
      <w:r>
        <w:rPr>
          <w:rFonts w:ascii="Arial" w:eastAsia="Arial" w:hAnsi="Arial" w:cs="Arial"/>
          <w:color w:val="444444"/>
          <w:sz w:val="18"/>
          <w:szCs w:val="18"/>
        </w:rPr>
        <w:t>Eric Marchetti, DPM</w:t>
      </w:r>
    </w:p>
    <w:p w14:paraId="472A2E86" w14:textId="40B637EC" w:rsidR="00AF5F65" w:rsidRDefault="00A360B8">
      <w:pPr>
        <w:spacing w:before="180" w:after="60"/>
      </w:pPr>
      <w:r>
        <w:rPr>
          <w:rFonts w:ascii="Arial" w:eastAsia="Arial" w:hAnsi="Arial" w:cs="Arial"/>
          <w:b/>
          <w:bCs/>
          <w:color w:val="000000"/>
        </w:rPr>
        <w:t>83. A Study to Evaluate the Benefit of an Insole to Provide Foot Comfort and Reduce the Incidence and Intensity of Pain from Neuropathy When Used Over a 4-Week Period</w:t>
      </w:r>
    </w:p>
    <w:p w14:paraId="3847AC76" w14:textId="1C92CC7D" w:rsidR="00AF5F65" w:rsidRPr="00D51F20" w:rsidRDefault="00A360B8">
      <w:pPr>
        <w:rPr>
          <w:lang w:val="es-ES"/>
        </w:rPr>
      </w:pPr>
      <w:r>
        <w:rPr>
          <w:rFonts w:ascii="Arial" w:eastAsia="Arial" w:hAnsi="Arial" w:cs="Arial"/>
          <w:color w:val="000000"/>
          <w:sz w:val="18"/>
          <w:szCs w:val="18"/>
          <w:lang w:val="es-ES"/>
        </w:rPr>
        <w:t>Marc G. Colaluce, DPM</w:t>
      </w:r>
      <w:r>
        <w:rPr>
          <w:rFonts w:ascii="Arial" w:eastAsia="Arial" w:hAnsi="Arial" w:cs="Arial"/>
          <w:i/>
          <w:iCs/>
          <w:sz w:val="18"/>
          <w:szCs w:val="18"/>
          <w:lang w:val="es-ES"/>
        </w:rPr>
        <w:t>†</w:t>
      </w:r>
    </w:p>
    <w:p w14:paraId="30B00648" w14:textId="77777777" w:rsidR="00AF5F65" w:rsidRPr="00D51F20" w:rsidRDefault="00A360B8">
      <w:pPr>
        <w:rPr>
          <w:lang w:val="es-ES"/>
        </w:rPr>
      </w:pPr>
      <w:r>
        <w:rPr>
          <w:rFonts w:ascii="Arial" w:eastAsia="Arial" w:hAnsi="Arial" w:cs="Arial"/>
          <w:color w:val="444444"/>
          <w:sz w:val="18"/>
          <w:szCs w:val="18"/>
          <w:lang w:val="es-ES"/>
        </w:rPr>
        <w:t>Denzel Alib</w:t>
      </w:r>
    </w:p>
    <w:p w14:paraId="6BEDC2B5" w14:textId="77777777" w:rsidR="00AF5F65" w:rsidRDefault="00A360B8">
      <w:r>
        <w:rPr>
          <w:rFonts w:ascii="Arial" w:eastAsia="Arial" w:hAnsi="Arial" w:cs="Arial"/>
          <w:color w:val="444444"/>
          <w:sz w:val="18"/>
          <w:szCs w:val="18"/>
        </w:rPr>
        <w:t>Joanne Browne, MS</w:t>
      </w:r>
    </w:p>
    <w:p w14:paraId="1B538FB2" w14:textId="77777777" w:rsidR="00AF5F65" w:rsidRDefault="00A360B8">
      <w:r>
        <w:rPr>
          <w:rFonts w:ascii="Arial" w:eastAsia="Arial" w:hAnsi="Arial" w:cs="Arial"/>
          <w:color w:val="444444"/>
          <w:sz w:val="18"/>
          <w:szCs w:val="18"/>
        </w:rPr>
        <w:t>Edmund Farmer</w:t>
      </w:r>
    </w:p>
    <w:p w14:paraId="6FBC4F8A" w14:textId="77777777" w:rsidR="00AF5F65" w:rsidRDefault="00A360B8">
      <w:r>
        <w:rPr>
          <w:rFonts w:ascii="Arial" w:eastAsia="Arial" w:hAnsi="Arial" w:cs="Arial"/>
          <w:color w:val="444444"/>
          <w:sz w:val="18"/>
          <w:szCs w:val="18"/>
        </w:rPr>
        <w:t>Andrew King</w:t>
      </w:r>
    </w:p>
    <w:p w14:paraId="264463F6" w14:textId="77777777" w:rsidR="00AF5F65" w:rsidRDefault="00A360B8">
      <w:r>
        <w:rPr>
          <w:rFonts w:ascii="Arial" w:eastAsia="Arial" w:hAnsi="Arial" w:cs="Arial"/>
          <w:color w:val="444444"/>
          <w:sz w:val="18"/>
          <w:szCs w:val="18"/>
        </w:rPr>
        <w:t>Elsie Kohoot</w:t>
      </w:r>
    </w:p>
    <w:p w14:paraId="28BB8D8A" w14:textId="77777777" w:rsidR="00AF5F65" w:rsidRDefault="00A360B8">
      <w:r>
        <w:rPr>
          <w:rFonts w:ascii="Arial" w:eastAsia="Arial" w:hAnsi="Arial" w:cs="Arial"/>
          <w:color w:val="444444"/>
          <w:sz w:val="18"/>
          <w:szCs w:val="18"/>
        </w:rPr>
        <w:t>Chrissy Maraghy</w:t>
      </w:r>
    </w:p>
    <w:p w14:paraId="3E31B150" w14:textId="77777777" w:rsidR="00AF5F65" w:rsidRDefault="00A360B8">
      <w:r>
        <w:rPr>
          <w:rFonts w:ascii="Arial" w:eastAsia="Arial" w:hAnsi="Arial" w:cs="Arial"/>
          <w:color w:val="444444"/>
          <w:sz w:val="18"/>
          <w:szCs w:val="18"/>
        </w:rPr>
        <w:t>Bruce Nelson, MS</w:t>
      </w:r>
    </w:p>
    <w:p w14:paraId="136C1D29" w14:textId="386AF7DA" w:rsidR="00AF5F65" w:rsidRDefault="00A360B8">
      <w:pPr>
        <w:spacing w:before="180" w:after="60"/>
      </w:pPr>
      <w:r>
        <w:rPr>
          <w:rFonts w:ascii="Arial" w:eastAsia="Arial" w:hAnsi="Arial" w:cs="Arial"/>
          <w:b/>
          <w:bCs/>
          <w:color w:val="000000"/>
        </w:rPr>
        <w:t>84. Treatment of Multiple Large Venous Leg Ulcers Complicated by Pseudomonas aeruginosa Infection and Beetle Larve Infestation Utilizing Dehydrated Human Amnion – Intermediate Layer – Chorion Membrane Allograft in a Patient with Obesity and Type 2 Diabetes Mellitus.</w:t>
      </w:r>
    </w:p>
    <w:p w14:paraId="35A7723B" w14:textId="0B3E28DE" w:rsidR="00AF5F65" w:rsidRDefault="00A360B8">
      <w:r>
        <w:rPr>
          <w:rFonts w:ascii="Arial" w:eastAsia="Arial" w:hAnsi="Arial" w:cs="Arial"/>
          <w:color w:val="000000"/>
          <w:sz w:val="18"/>
          <w:szCs w:val="18"/>
        </w:rPr>
        <w:t>Thomas Rambacher, DPM</w:t>
      </w:r>
      <w:r>
        <w:rPr>
          <w:rFonts w:ascii="Arial" w:eastAsia="Arial" w:hAnsi="Arial" w:cs="Arial"/>
          <w:i/>
          <w:iCs/>
          <w:sz w:val="18"/>
          <w:szCs w:val="18"/>
        </w:rPr>
        <w:t>†</w:t>
      </w:r>
    </w:p>
    <w:p w14:paraId="73D60E15" w14:textId="13F02B1D" w:rsidR="00AF5F65" w:rsidRDefault="00A360B8">
      <w:pPr>
        <w:spacing w:before="180" w:after="60"/>
      </w:pPr>
      <w:r>
        <w:rPr>
          <w:rFonts w:ascii="Arial" w:eastAsia="Arial" w:hAnsi="Arial" w:cs="Arial"/>
          <w:b/>
          <w:bCs/>
          <w:color w:val="000000"/>
        </w:rPr>
        <w:t>85. Walking a Mile in Their Shoes: The Treatment Journey of Toenail Onychomycosis With Efinaconazole 10% Solution</w:t>
      </w:r>
    </w:p>
    <w:p w14:paraId="75E734DC" w14:textId="46BB9FA4" w:rsidR="00AF5F65" w:rsidRDefault="00A360B8">
      <w:r>
        <w:rPr>
          <w:rFonts w:ascii="Arial" w:eastAsia="Arial" w:hAnsi="Arial" w:cs="Arial"/>
          <w:color w:val="000000"/>
          <w:sz w:val="18"/>
          <w:szCs w:val="18"/>
        </w:rPr>
        <w:t>Tracey C. Vlahovic, DPM</w:t>
      </w:r>
      <w:r>
        <w:rPr>
          <w:rFonts w:ascii="Arial" w:eastAsia="Arial" w:hAnsi="Arial" w:cs="Arial"/>
          <w:i/>
          <w:iCs/>
          <w:sz w:val="18"/>
          <w:szCs w:val="18"/>
        </w:rPr>
        <w:t>†</w:t>
      </w:r>
    </w:p>
    <w:p w14:paraId="41E3D83A" w14:textId="77777777" w:rsidR="00AF5F65" w:rsidRDefault="00A360B8">
      <w:r>
        <w:rPr>
          <w:rFonts w:ascii="Arial" w:eastAsia="Arial" w:hAnsi="Arial" w:cs="Arial"/>
          <w:color w:val="444444"/>
          <w:sz w:val="18"/>
          <w:szCs w:val="18"/>
        </w:rPr>
        <w:t>Boni Elewski, MD, PhD</w:t>
      </w:r>
    </w:p>
    <w:p w14:paraId="5CEB1018" w14:textId="26E83451" w:rsidR="00AF5F65" w:rsidRDefault="00A360B8">
      <w:r>
        <w:rPr>
          <w:rFonts w:ascii="Arial" w:eastAsia="Arial" w:hAnsi="Arial" w:cs="Arial"/>
          <w:color w:val="444444"/>
          <w:sz w:val="18"/>
          <w:szCs w:val="18"/>
        </w:rPr>
        <w:t>Aditya K. Gupta, MD, PhD</w:t>
      </w:r>
    </w:p>
    <w:p w14:paraId="40D55F8E" w14:textId="77777777" w:rsidR="00AF5F65" w:rsidRDefault="00A360B8">
      <w:r>
        <w:rPr>
          <w:rFonts w:ascii="Arial" w:eastAsia="Arial" w:hAnsi="Arial" w:cs="Arial"/>
          <w:color w:val="444444"/>
          <w:sz w:val="18"/>
          <w:szCs w:val="18"/>
        </w:rPr>
        <w:t>Warren S Joseph, DPM</w:t>
      </w:r>
    </w:p>
    <w:p w14:paraId="54BFA792" w14:textId="352BC3D2" w:rsidR="00AF5F65" w:rsidRDefault="00A360B8">
      <w:r>
        <w:rPr>
          <w:rFonts w:ascii="Arial" w:eastAsia="Arial" w:hAnsi="Arial" w:cs="Arial"/>
          <w:color w:val="444444"/>
          <w:sz w:val="18"/>
          <w:szCs w:val="18"/>
        </w:rPr>
        <w:t>Shari R. Lipner, MD, PhD</w:t>
      </w:r>
    </w:p>
    <w:p w14:paraId="578C75D6" w14:textId="77777777" w:rsidR="00AF5F65" w:rsidRDefault="00AF5F65">
      <w:pPr>
        <w:spacing w:before="300"/>
      </w:pPr>
    </w:p>
    <w:p w14:paraId="42917EDD" w14:textId="77777777" w:rsidR="00AF5F65" w:rsidRDefault="00A360B8">
      <w:r>
        <w:rPr>
          <w:rFonts w:ascii="Arial" w:eastAsia="Arial" w:hAnsi="Arial" w:cs="Arial"/>
          <w:i/>
          <w:iCs/>
          <w:sz w:val="18"/>
          <w:szCs w:val="18"/>
        </w:rPr>
        <w:t>†Primary Author</w:t>
      </w:r>
    </w:p>
    <w:p w14:paraId="62BCC23E" w14:textId="77777777" w:rsidR="00AF5F65" w:rsidRDefault="00A360B8">
      <w:r>
        <w:rPr>
          <w:rFonts w:ascii="Arial" w:eastAsia="Arial" w:hAnsi="Arial" w:cs="Arial"/>
          <w:i/>
          <w:iCs/>
          <w:sz w:val="18"/>
          <w:szCs w:val="18"/>
        </w:rPr>
        <w:t>‡Primary Student or Resident Author</w:t>
      </w:r>
    </w:p>
    <w:sectPr w:rsidR="00AF5F65">
      <w:pgSz w:w="12240" w:h="15840"/>
      <w:pgMar w:top="1080" w:right="1080" w:bottom="1080" w:left="108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yane E. Tower, DPM" w:date="2026-06-15T18:09:00Z" w:initials="DT">
    <w:p w14:paraId="053A47D5" w14:textId="77777777" w:rsidR="00A61A78" w:rsidRDefault="00A61A78" w:rsidP="002E090E">
      <w:pPr>
        <w:pStyle w:val="CommentText"/>
      </w:pPr>
      <w:r>
        <w:rPr>
          <w:rStyle w:val="CommentReference"/>
        </w:rPr>
        <w:annotationRef/>
      </w:r>
      <w:r>
        <w:t>Does this category get first, second, and third place prize money? Or just the winner gets $250?</w:t>
      </w:r>
    </w:p>
  </w:comment>
  <w:comment w:id="1" w:author="Allison J. Fisher" w:date="2026-06-15T18:39:00Z" w:initials="AF">
    <w:p w14:paraId="31786D72" w14:textId="77777777" w:rsidR="00DF568E" w:rsidRDefault="00162832" w:rsidP="00DF568E">
      <w:pPr>
        <w:pStyle w:val="CommentText"/>
      </w:pPr>
      <w:r>
        <w:rPr>
          <w:rStyle w:val="CommentReference"/>
        </w:rPr>
        <w:annotationRef/>
      </w:r>
      <w:r w:rsidR="00DF568E">
        <w:t xml:space="preserve">Yes, just one prize of $250 which is why it has the footnote. I moved the Attendee’s Choice down like you suggested.  </w:t>
      </w:r>
    </w:p>
  </w:comment>
  <w:comment w:id="2" w:author="Dyane E. Tower, DPM" w:date="2026-06-15T18:48:00Z" w:initials="DT">
    <w:p w14:paraId="763E698C" w14:textId="77777777" w:rsidR="004C3EE7" w:rsidRDefault="004C3EE7" w:rsidP="004C3EE7">
      <w:pPr>
        <w:pStyle w:val="CommentText"/>
      </w:pPr>
      <w:r>
        <w:rPr>
          <w:rStyle w:val="CommentReference"/>
        </w:rPr>
        <w:annotationRef/>
      </w:r>
      <w:r>
        <w:t>Looks good! Thank you!</w:t>
      </w:r>
    </w:p>
  </w:comment>
  <w:comment w:id="3" w:author="Dyane E. Tower, DPM" w:date="2026-06-15T18:13:00Z" w:initials="DT">
    <w:p w14:paraId="516E816F" w14:textId="77777777" w:rsidR="00AD3EEB" w:rsidRDefault="00AD3EEB" w:rsidP="00AD3EEB">
      <w:pPr>
        <w:pStyle w:val="CommentText"/>
      </w:pPr>
      <w:r>
        <w:rPr>
          <w:rStyle w:val="CommentReference"/>
        </w:rPr>
        <w:annotationRef/>
      </w:r>
      <w:r>
        <w:t>It looks like poster setup doesn’t start until Thursday at 3pm. Do you think we should change this to Friday and Saturday? I think it will be underwhelming to have people try and look on Thursday.</w:t>
      </w:r>
    </w:p>
  </w:comment>
  <w:comment w:id="4" w:author="Allison J. Fisher" w:date="2026-06-15T18:35:00Z" w:initials="AF">
    <w:p w14:paraId="184D9CB0" w14:textId="77777777" w:rsidR="006E7ACF" w:rsidRDefault="006E7ACF" w:rsidP="006E7ACF">
      <w:pPr>
        <w:pStyle w:val="CommentText"/>
      </w:pPr>
      <w:r>
        <w:rPr>
          <w:rStyle w:val="CommentReference"/>
        </w:rPr>
        <w:annotationRef/>
      </w:r>
      <w:r>
        <w:t xml:space="preserve">Yes, will do!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3A47D5" w15:done="1"/>
  <w15:commentEx w15:paraId="31786D72" w15:paraIdParent="053A47D5" w15:done="1"/>
  <w15:commentEx w15:paraId="763E698C" w15:paraIdParent="053A47D5" w15:done="1"/>
  <w15:commentEx w15:paraId="516E816F" w15:done="1"/>
  <w15:commentEx w15:paraId="184D9CB0" w15:paraIdParent="516E81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297AD4" w16cex:dateUtc="2026-06-15T22:09:00Z"/>
  <w16cex:commentExtensible w16cex:durableId="1FC92DFE" w16cex:dateUtc="2026-06-15T22:39:00Z">
    <w16cex:extLst>
      <w16:ext w16:uri="{CE6994B0-6A32-4C9F-8C6B-6E91EDA988CE}">
        <cr:reactions xmlns:cr="http://schemas.microsoft.com/office/comments/2020/reactions">
          <cr:reaction reactionType="1">
            <cr:reactionInfo dateUtc="2026-06-15T22:41:08Z">
              <cr:user userId="S::dtower@APMA.ORG::01bd7b4d-20a5-4fd0-ab18-4204191a1984" userProvider="AD" userName="Dyane E. Tower, DPM"/>
            </cr:reactionInfo>
          </cr:reaction>
        </cr:reactions>
      </w16:ext>
    </w16cex:extLst>
  </w16cex:commentExtensible>
  <w16cex:commentExtensible w16cex:durableId="7F4FA74D" w16cex:dateUtc="2026-06-15T22:48:00Z"/>
  <w16cex:commentExtensible w16cex:durableId="04C8EB53" w16cex:dateUtc="2026-06-15T22:13:00Z"/>
  <w16cex:commentExtensible w16cex:durableId="41129228" w16cex:dateUtc="2026-06-15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3A47D5" w16cid:durableId="3C297AD4"/>
  <w16cid:commentId w16cid:paraId="31786D72" w16cid:durableId="1FC92DFE"/>
  <w16cid:commentId w16cid:paraId="763E698C" w16cid:durableId="7F4FA74D"/>
  <w16cid:commentId w16cid:paraId="516E816F" w16cid:durableId="04C8EB53"/>
  <w16cid:commentId w16cid:paraId="184D9CB0" w16cid:durableId="411292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3BB9A" w14:textId="77777777" w:rsidR="00665449" w:rsidRDefault="00665449" w:rsidP="00C806F7">
      <w:r>
        <w:separator/>
      </w:r>
    </w:p>
  </w:endnote>
  <w:endnote w:type="continuationSeparator" w:id="0">
    <w:p w14:paraId="711369EB" w14:textId="77777777" w:rsidR="00665449" w:rsidRDefault="00665449" w:rsidP="00C8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39C6" w14:textId="77777777" w:rsidR="00665449" w:rsidRDefault="00665449" w:rsidP="00C806F7">
      <w:r>
        <w:separator/>
      </w:r>
    </w:p>
  </w:footnote>
  <w:footnote w:type="continuationSeparator" w:id="0">
    <w:p w14:paraId="3936B0AF" w14:textId="77777777" w:rsidR="00665449" w:rsidRDefault="00665449" w:rsidP="00C806F7">
      <w:r>
        <w:continuationSeparator/>
      </w:r>
    </w:p>
  </w:footnote>
  <w:footnote w:id="1">
    <w:p w14:paraId="377AF878" w14:textId="5A5C5C1E" w:rsidR="00C806F7" w:rsidRDefault="00C806F7">
      <w:pPr>
        <w:pStyle w:val="FootnoteText"/>
      </w:pPr>
      <w:r>
        <w:rPr>
          <w:rStyle w:val="FootnoteReference"/>
        </w:rPr>
        <w:footnoteRef/>
      </w:r>
      <w:r>
        <w:t xml:space="preserve"> </w:t>
      </w:r>
      <w:r w:rsidR="00DF568E" w:rsidRPr="00E343E5">
        <w:rPr>
          <w:rFonts w:ascii="Arial" w:eastAsia="Arial" w:hAnsi="Arial" w:cs="Arial"/>
          <w:sz w:val="18"/>
          <w:szCs w:val="18"/>
        </w:rPr>
        <w:t>The Outstanding APHA Foot and Ankle Health Section Poster Abstract category recognizes one poster abstract related to public health or disparities. The primary author on the public health abstract must be a member of the APHA Foot and Ankle Health Section as well as an APMA member.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2DA9"/>
    <w:multiLevelType w:val="hybridMultilevel"/>
    <w:tmpl w:val="C0F61C0C"/>
    <w:lvl w:ilvl="0" w:tplc="511295E8">
      <w:start w:val="1"/>
      <w:numFmt w:val="bullet"/>
      <w:lvlText w:val="●"/>
      <w:lvlJc w:val="left"/>
      <w:pPr>
        <w:ind w:left="720" w:hanging="360"/>
      </w:pPr>
    </w:lvl>
    <w:lvl w:ilvl="1" w:tplc="724AF9C0">
      <w:start w:val="1"/>
      <w:numFmt w:val="bullet"/>
      <w:lvlText w:val="○"/>
      <w:lvlJc w:val="left"/>
      <w:pPr>
        <w:ind w:left="1440" w:hanging="360"/>
      </w:pPr>
    </w:lvl>
    <w:lvl w:ilvl="2" w:tplc="BEA2F690">
      <w:start w:val="1"/>
      <w:numFmt w:val="bullet"/>
      <w:lvlText w:val="■"/>
      <w:lvlJc w:val="left"/>
      <w:pPr>
        <w:ind w:left="2160" w:hanging="360"/>
      </w:pPr>
    </w:lvl>
    <w:lvl w:ilvl="3" w:tplc="A5540C2E">
      <w:start w:val="1"/>
      <w:numFmt w:val="bullet"/>
      <w:lvlText w:val="●"/>
      <w:lvlJc w:val="left"/>
      <w:pPr>
        <w:ind w:left="2880" w:hanging="360"/>
      </w:pPr>
    </w:lvl>
    <w:lvl w:ilvl="4" w:tplc="C5FA9BC0">
      <w:start w:val="1"/>
      <w:numFmt w:val="bullet"/>
      <w:lvlText w:val="○"/>
      <w:lvlJc w:val="left"/>
      <w:pPr>
        <w:ind w:left="3600" w:hanging="360"/>
      </w:pPr>
    </w:lvl>
    <w:lvl w:ilvl="5" w:tplc="7A268DEA">
      <w:start w:val="1"/>
      <w:numFmt w:val="bullet"/>
      <w:lvlText w:val="■"/>
      <w:lvlJc w:val="left"/>
      <w:pPr>
        <w:ind w:left="4320" w:hanging="360"/>
      </w:pPr>
    </w:lvl>
    <w:lvl w:ilvl="6" w:tplc="C6DEAD4A">
      <w:start w:val="1"/>
      <w:numFmt w:val="bullet"/>
      <w:lvlText w:val="●"/>
      <w:lvlJc w:val="left"/>
      <w:pPr>
        <w:ind w:left="5040" w:hanging="360"/>
      </w:pPr>
    </w:lvl>
    <w:lvl w:ilvl="7" w:tplc="67AE1286">
      <w:start w:val="1"/>
      <w:numFmt w:val="bullet"/>
      <w:lvlText w:val="●"/>
      <w:lvlJc w:val="left"/>
      <w:pPr>
        <w:ind w:left="5760" w:hanging="360"/>
      </w:pPr>
    </w:lvl>
    <w:lvl w:ilvl="8" w:tplc="F9221184">
      <w:start w:val="1"/>
      <w:numFmt w:val="bullet"/>
      <w:lvlText w:val="●"/>
      <w:lvlJc w:val="left"/>
      <w:pPr>
        <w:ind w:left="6480" w:hanging="360"/>
      </w:pPr>
    </w:lvl>
  </w:abstractNum>
  <w:abstractNum w:abstractNumId="1" w15:restartNumberingAfterBreak="0">
    <w:nsid w:val="69FC2FC2"/>
    <w:multiLevelType w:val="hybridMultilevel"/>
    <w:tmpl w:val="D4D44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410744">
    <w:abstractNumId w:val="0"/>
    <w:lvlOverride w:ilvl="0">
      <w:startOverride w:val="1"/>
    </w:lvlOverride>
  </w:num>
  <w:num w:numId="2" w16cid:durableId="18736128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yane E. Tower, DPM">
    <w15:presenceInfo w15:providerId="AD" w15:userId="S::dtower@APMA.ORG::01bd7b4d-20a5-4fd0-ab18-4204191a1984"/>
  </w15:person>
  <w15:person w15:author="Allison J. Fisher">
    <w15:presenceInfo w15:providerId="AD" w15:userId="S::afisher@APMA.ORG::f33cd768-4517-4a20-885e-ac960c9a75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65"/>
    <w:rsid w:val="0001007A"/>
    <w:rsid w:val="00037C1E"/>
    <w:rsid w:val="00047FCC"/>
    <w:rsid w:val="0006273B"/>
    <w:rsid w:val="000751E3"/>
    <w:rsid w:val="00083909"/>
    <w:rsid w:val="00085E73"/>
    <w:rsid w:val="000C05E5"/>
    <w:rsid w:val="000C0E50"/>
    <w:rsid w:val="000D2556"/>
    <w:rsid w:val="000D350C"/>
    <w:rsid w:val="000F1FD4"/>
    <w:rsid w:val="001113FB"/>
    <w:rsid w:val="00130C5B"/>
    <w:rsid w:val="00142C9E"/>
    <w:rsid w:val="001576FE"/>
    <w:rsid w:val="00162832"/>
    <w:rsid w:val="00167616"/>
    <w:rsid w:val="00172DBF"/>
    <w:rsid w:val="00176C7A"/>
    <w:rsid w:val="00185AE0"/>
    <w:rsid w:val="001A3AB9"/>
    <w:rsid w:val="001A6CFA"/>
    <w:rsid w:val="001B5B19"/>
    <w:rsid w:val="001C6458"/>
    <w:rsid w:val="001D0C3A"/>
    <w:rsid w:val="001D2E1F"/>
    <w:rsid w:val="001F0AFE"/>
    <w:rsid w:val="00202289"/>
    <w:rsid w:val="00210819"/>
    <w:rsid w:val="002152D8"/>
    <w:rsid w:val="002227C2"/>
    <w:rsid w:val="002353C6"/>
    <w:rsid w:val="002A0CD9"/>
    <w:rsid w:val="002B12AA"/>
    <w:rsid w:val="002B6562"/>
    <w:rsid w:val="002B6F73"/>
    <w:rsid w:val="002E090E"/>
    <w:rsid w:val="002E7C0C"/>
    <w:rsid w:val="002F7C3E"/>
    <w:rsid w:val="0030693A"/>
    <w:rsid w:val="003073A2"/>
    <w:rsid w:val="003133B4"/>
    <w:rsid w:val="00321B5A"/>
    <w:rsid w:val="00340E68"/>
    <w:rsid w:val="003432C9"/>
    <w:rsid w:val="00347299"/>
    <w:rsid w:val="00362E3B"/>
    <w:rsid w:val="003636BC"/>
    <w:rsid w:val="00391094"/>
    <w:rsid w:val="003A447B"/>
    <w:rsid w:val="003A71E4"/>
    <w:rsid w:val="003C1578"/>
    <w:rsid w:val="003C313A"/>
    <w:rsid w:val="003D0559"/>
    <w:rsid w:val="003E550A"/>
    <w:rsid w:val="003F1428"/>
    <w:rsid w:val="003F46DF"/>
    <w:rsid w:val="00403880"/>
    <w:rsid w:val="004050A5"/>
    <w:rsid w:val="0040720C"/>
    <w:rsid w:val="00410395"/>
    <w:rsid w:val="00413312"/>
    <w:rsid w:val="0042076F"/>
    <w:rsid w:val="00471FB3"/>
    <w:rsid w:val="0048696A"/>
    <w:rsid w:val="004B66D3"/>
    <w:rsid w:val="004C3EE7"/>
    <w:rsid w:val="004C7F23"/>
    <w:rsid w:val="004D1B8E"/>
    <w:rsid w:val="004D3153"/>
    <w:rsid w:val="004D3455"/>
    <w:rsid w:val="004D566E"/>
    <w:rsid w:val="004E08BB"/>
    <w:rsid w:val="005235DE"/>
    <w:rsid w:val="00527D6E"/>
    <w:rsid w:val="00541C5F"/>
    <w:rsid w:val="00581C22"/>
    <w:rsid w:val="00582C0F"/>
    <w:rsid w:val="005B6AD7"/>
    <w:rsid w:val="005E1F94"/>
    <w:rsid w:val="005E214F"/>
    <w:rsid w:val="005F7405"/>
    <w:rsid w:val="00601AE6"/>
    <w:rsid w:val="00602A00"/>
    <w:rsid w:val="0061334E"/>
    <w:rsid w:val="0062219F"/>
    <w:rsid w:val="0064083E"/>
    <w:rsid w:val="00641C24"/>
    <w:rsid w:val="00652325"/>
    <w:rsid w:val="0066334A"/>
    <w:rsid w:val="00665449"/>
    <w:rsid w:val="00665EEB"/>
    <w:rsid w:val="00671A3C"/>
    <w:rsid w:val="006C1396"/>
    <w:rsid w:val="006C1805"/>
    <w:rsid w:val="006C3E5F"/>
    <w:rsid w:val="006E7ACF"/>
    <w:rsid w:val="006F120D"/>
    <w:rsid w:val="006F3689"/>
    <w:rsid w:val="00712679"/>
    <w:rsid w:val="007327EC"/>
    <w:rsid w:val="00745A30"/>
    <w:rsid w:val="00745D89"/>
    <w:rsid w:val="00771570"/>
    <w:rsid w:val="00781836"/>
    <w:rsid w:val="0078386A"/>
    <w:rsid w:val="007946D3"/>
    <w:rsid w:val="007A089A"/>
    <w:rsid w:val="007B55A6"/>
    <w:rsid w:val="007C2987"/>
    <w:rsid w:val="007D7A10"/>
    <w:rsid w:val="007F592C"/>
    <w:rsid w:val="008040B2"/>
    <w:rsid w:val="00806404"/>
    <w:rsid w:val="00811DF7"/>
    <w:rsid w:val="0081477D"/>
    <w:rsid w:val="00845A42"/>
    <w:rsid w:val="008575B9"/>
    <w:rsid w:val="008818ED"/>
    <w:rsid w:val="008824B4"/>
    <w:rsid w:val="0089755C"/>
    <w:rsid w:val="008A25AA"/>
    <w:rsid w:val="008A6751"/>
    <w:rsid w:val="008B205B"/>
    <w:rsid w:val="008B3275"/>
    <w:rsid w:val="008C3885"/>
    <w:rsid w:val="008E69AA"/>
    <w:rsid w:val="00904C39"/>
    <w:rsid w:val="00906936"/>
    <w:rsid w:val="00917366"/>
    <w:rsid w:val="0092227E"/>
    <w:rsid w:val="00927224"/>
    <w:rsid w:val="009339F4"/>
    <w:rsid w:val="00935BF8"/>
    <w:rsid w:val="00936F1A"/>
    <w:rsid w:val="00943C1F"/>
    <w:rsid w:val="009448FC"/>
    <w:rsid w:val="00961B3B"/>
    <w:rsid w:val="00962BF3"/>
    <w:rsid w:val="00967A4C"/>
    <w:rsid w:val="0097626A"/>
    <w:rsid w:val="00995547"/>
    <w:rsid w:val="009B55EC"/>
    <w:rsid w:val="009C72C4"/>
    <w:rsid w:val="009D12BF"/>
    <w:rsid w:val="009D152D"/>
    <w:rsid w:val="009F2E90"/>
    <w:rsid w:val="00A01999"/>
    <w:rsid w:val="00A07B51"/>
    <w:rsid w:val="00A07F39"/>
    <w:rsid w:val="00A360B8"/>
    <w:rsid w:val="00A378A7"/>
    <w:rsid w:val="00A527EF"/>
    <w:rsid w:val="00A56566"/>
    <w:rsid w:val="00A61A78"/>
    <w:rsid w:val="00A77715"/>
    <w:rsid w:val="00A90ECA"/>
    <w:rsid w:val="00AB1A4D"/>
    <w:rsid w:val="00AD3EEB"/>
    <w:rsid w:val="00AD5999"/>
    <w:rsid w:val="00AF0ED6"/>
    <w:rsid w:val="00AF5F65"/>
    <w:rsid w:val="00B0726A"/>
    <w:rsid w:val="00B10922"/>
    <w:rsid w:val="00B3568E"/>
    <w:rsid w:val="00B44969"/>
    <w:rsid w:val="00B524B9"/>
    <w:rsid w:val="00B7395E"/>
    <w:rsid w:val="00B7724A"/>
    <w:rsid w:val="00BA6840"/>
    <w:rsid w:val="00BA6F28"/>
    <w:rsid w:val="00BD42BB"/>
    <w:rsid w:val="00BE2F9D"/>
    <w:rsid w:val="00BF3827"/>
    <w:rsid w:val="00C0593B"/>
    <w:rsid w:val="00C231FB"/>
    <w:rsid w:val="00C257CE"/>
    <w:rsid w:val="00C44613"/>
    <w:rsid w:val="00C57B51"/>
    <w:rsid w:val="00C806F7"/>
    <w:rsid w:val="00C87F03"/>
    <w:rsid w:val="00C930AD"/>
    <w:rsid w:val="00CA333D"/>
    <w:rsid w:val="00CB7694"/>
    <w:rsid w:val="00CC2BCB"/>
    <w:rsid w:val="00CC37B2"/>
    <w:rsid w:val="00CE1769"/>
    <w:rsid w:val="00CE567B"/>
    <w:rsid w:val="00CE6813"/>
    <w:rsid w:val="00CF3231"/>
    <w:rsid w:val="00D133BD"/>
    <w:rsid w:val="00D25758"/>
    <w:rsid w:val="00D317FD"/>
    <w:rsid w:val="00D43D5A"/>
    <w:rsid w:val="00D4785D"/>
    <w:rsid w:val="00D51F20"/>
    <w:rsid w:val="00D57669"/>
    <w:rsid w:val="00D745CC"/>
    <w:rsid w:val="00D77619"/>
    <w:rsid w:val="00DA24EB"/>
    <w:rsid w:val="00DC23B1"/>
    <w:rsid w:val="00DE344B"/>
    <w:rsid w:val="00DF568E"/>
    <w:rsid w:val="00DF7605"/>
    <w:rsid w:val="00E06D04"/>
    <w:rsid w:val="00E21E46"/>
    <w:rsid w:val="00E343E5"/>
    <w:rsid w:val="00E345C0"/>
    <w:rsid w:val="00E351B6"/>
    <w:rsid w:val="00E355AD"/>
    <w:rsid w:val="00E545EE"/>
    <w:rsid w:val="00E63000"/>
    <w:rsid w:val="00E749D2"/>
    <w:rsid w:val="00E82061"/>
    <w:rsid w:val="00E84388"/>
    <w:rsid w:val="00E87C6E"/>
    <w:rsid w:val="00EA358A"/>
    <w:rsid w:val="00ED52F8"/>
    <w:rsid w:val="00EF25E8"/>
    <w:rsid w:val="00EF2BD5"/>
    <w:rsid w:val="00EF40D1"/>
    <w:rsid w:val="00F03722"/>
    <w:rsid w:val="00F1650A"/>
    <w:rsid w:val="00F44438"/>
    <w:rsid w:val="00F55AD8"/>
    <w:rsid w:val="00F56C55"/>
    <w:rsid w:val="00F72A7E"/>
    <w:rsid w:val="00F85D7F"/>
    <w:rsid w:val="00F85F45"/>
    <w:rsid w:val="00FA6013"/>
    <w:rsid w:val="00FB17FF"/>
    <w:rsid w:val="00FC00A9"/>
    <w:rsid w:val="00FE5394"/>
    <w:rsid w:val="00FF4B10"/>
    <w:rsid w:val="00FF5C11"/>
    <w:rsid w:val="00FF7BCB"/>
    <w:rsid w:val="0E0B2253"/>
    <w:rsid w:val="1404D520"/>
    <w:rsid w:val="431646E9"/>
    <w:rsid w:val="6589E6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AC1D"/>
  <w15:docId w15:val="{E8534F40-E49B-4B41-9AD4-F06A47AC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B51"/>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character" w:styleId="CommentReference">
    <w:name w:val="annotation reference"/>
    <w:basedOn w:val="DefaultParagraphFont"/>
    <w:uiPriority w:val="99"/>
    <w:semiHidden/>
    <w:unhideWhenUsed/>
    <w:rsid w:val="003C313A"/>
    <w:rPr>
      <w:sz w:val="16"/>
      <w:szCs w:val="16"/>
    </w:rPr>
  </w:style>
  <w:style w:type="paragraph" w:styleId="CommentText">
    <w:name w:val="annotation text"/>
    <w:basedOn w:val="Normal"/>
    <w:link w:val="CommentTextChar"/>
    <w:uiPriority w:val="99"/>
    <w:unhideWhenUsed/>
    <w:rsid w:val="003C313A"/>
  </w:style>
  <w:style w:type="character" w:customStyle="1" w:styleId="CommentTextChar">
    <w:name w:val="Comment Text Char"/>
    <w:basedOn w:val="DefaultParagraphFont"/>
    <w:link w:val="CommentText"/>
    <w:uiPriority w:val="99"/>
    <w:rsid w:val="003C313A"/>
  </w:style>
  <w:style w:type="paragraph" w:styleId="CommentSubject">
    <w:name w:val="annotation subject"/>
    <w:basedOn w:val="CommentText"/>
    <w:next w:val="CommentText"/>
    <w:link w:val="CommentSubjectChar"/>
    <w:uiPriority w:val="99"/>
    <w:semiHidden/>
    <w:unhideWhenUsed/>
    <w:rsid w:val="003C313A"/>
    <w:rPr>
      <w:b/>
      <w:bCs/>
    </w:rPr>
  </w:style>
  <w:style w:type="character" w:customStyle="1" w:styleId="CommentSubjectChar">
    <w:name w:val="Comment Subject Char"/>
    <w:basedOn w:val="CommentTextChar"/>
    <w:link w:val="CommentSubject"/>
    <w:uiPriority w:val="99"/>
    <w:semiHidden/>
    <w:rsid w:val="003C313A"/>
    <w:rPr>
      <w:b/>
      <w:bCs/>
    </w:rPr>
  </w:style>
  <w:style w:type="paragraph" w:styleId="Revision">
    <w:name w:val="Revision"/>
    <w:hidden/>
    <w:uiPriority w:val="99"/>
    <w:semiHidden/>
    <w:rsid w:val="00D51F20"/>
  </w:style>
  <w:style w:type="character" w:styleId="Mention">
    <w:name w:val="Mention"/>
    <w:basedOn w:val="DefaultParagraphFont"/>
    <w:uiPriority w:val="99"/>
    <w:unhideWhenUsed/>
    <w:rsid w:val="006E7ACF"/>
    <w:rPr>
      <w:color w:val="2B579A"/>
      <w:shd w:val="clear" w:color="auto" w:fill="E1DFDD"/>
    </w:rPr>
  </w:style>
  <w:style w:type="paragraph" w:styleId="Header">
    <w:name w:val="header"/>
    <w:basedOn w:val="Normal"/>
    <w:link w:val="HeaderChar"/>
    <w:uiPriority w:val="99"/>
    <w:semiHidden/>
    <w:unhideWhenUsed/>
    <w:rsid w:val="00DF568E"/>
    <w:pPr>
      <w:tabs>
        <w:tab w:val="center" w:pos="4680"/>
        <w:tab w:val="right" w:pos="9360"/>
      </w:tabs>
    </w:pPr>
  </w:style>
  <w:style w:type="character" w:customStyle="1" w:styleId="HeaderChar">
    <w:name w:val="Header Char"/>
    <w:basedOn w:val="DefaultParagraphFont"/>
    <w:link w:val="Header"/>
    <w:uiPriority w:val="99"/>
    <w:semiHidden/>
    <w:rsid w:val="00DF568E"/>
  </w:style>
  <w:style w:type="paragraph" w:styleId="Footer">
    <w:name w:val="footer"/>
    <w:basedOn w:val="Normal"/>
    <w:link w:val="FooterChar"/>
    <w:uiPriority w:val="99"/>
    <w:semiHidden/>
    <w:unhideWhenUsed/>
    <w:rsid w:val="00DF568E"/>
    <w:pPr>
      <w:tabs>
        <w:tab w:val="center" w:pos="4680"/>
        <w:tab w:val="right" w:pos="9360"/>
      </w:tabs>
    </w:pPr>
  </w:style>
  <w:style w:type="character" w:customStyle="1" w:styleId="FooterChar">
    <w:name w:val="Footer Char"/>
    <w:basedOn w:val="DefaultParagraphFont"/>
    <w:link w:val="Footer"/>
    <w:uiPriority w:val="99"/>
    <w:semiHidden/>
    <w:rsid w:val="00DF5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9" ma:contentTypeDescription="Create a new document." ma:contentTypeScope="" ma:versionID="dbf4432ea10abde19d7cb221c348fb1b">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97371b7da9c61d91334f0ed6e1ff941c"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375ec6-d0ce-414e-bc2d-1f160d9ff0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94eddd-18b3-4ceb-bd31-25de9aa88162}" ma:internalName="TaxCatchAll" ma:showField="CatchAllData" ma:web="21d4c215-7d80-40c8-95cb-1022683f4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d50eeb-4b82-4317-be54-1fe3687ad23d">
      <Terms xmlns="http://schemas.microsoft.com/office/infopath/2007/PartnerControls"/>
    </lcf76f155ced4ddcb4097134ff3c332f>
    <TaxCatchAll xmlns="21d4c215-7d80-40c8-95cb-1022683f4e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C9AB94-E5FF-43AA-9552-CCB769606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50eeb-4b82-4317-be54-1fe3687ad23d"/>
    <ds:schemaRef ds:uri="21d4c215-7d80-40c8-95cb-1022683f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DA325-4E75-4776-A83D-6C9DB052A928}">
  <ds:schemaRefs>
    <ds:schemaRef ds:uri="http://schemas.microsoft.com/office/2006/metadata/properties"/>
    <ds:schemaRef ds:uri="http://schemas.microsoft.com/office/infopath/2007/PartnerControls"/>
    <ds:schemaRef ds:uri="fcd50eeb-4b82-4317-be54-1fe3687ad23d"/>
    <ds:schemaRef ds:uri="21d4c215-7d80-40c8-95cb-1022683f4e5d"/>
  </ds:schemaRefs>
</ds:datastoreItem>
</file>

<file path=customXml/itemProps3.xml><?xml version="1.0" encoding="utf-8"?>
<ds:datastoreItem xmlns:ds="http://schemas.openxmlformats.org/officeDocument/2006/customXml" ds:itemID="{3AC1FA6C-A6AC-473A-A196-B7BAEB785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2791</Words>
  <Characters>15910</Characters>
  <Application>Microsoft Office Word</Application>
  <DocSecurity>0</DocSecurity>
  <Lines>132</Lines>
  <Paragraphs>37</Paragraphs>
  <ScaleCrop>false</ScaleCrop>
  <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Allison J. Fisher</cp:lastModifiedBy>
  <cp:revision>2</cp:revision>
  <dcterms:created xsi:type="dcterms:W3CDTF">2026-06-26T16:00:00Z</dcterms:created>
  <dcterms:modified xsi:type="dcterms:W3CDTF">2026-06-26T16:00:00Z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0x010100AD679A9C45649340BC7077713D2094F0</vt:lpwstr>
  </property>
  <property fmtid="{D5CDD505-2E9C-101B-9397-08002B2CF9AE}" pid="3" name="MediaServiceImageTags">
    <vt:lpwstr/>
  </property>
</Properties>
</file>